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7F" w:rsidRPr="00211B7D" w:rsidRDefault="00FB1B7F" w:rsidP="00B15882">
      <w:pPr>
        <w:jc w:val="center"/>
      </w:pPr>
      <w:r w:rsidRPr="00FB1B7F">
        <w:t xml:space="preserve">Анисимов А.Е., </w:t>
      </w:r>
      <w:r w:rsidR="00364DDF">
        <w:t>У</w:t>
      </w:r>
      <w:r w:rsidRPr="00FB1B7F">
        <w:t xml:space="preserve">ченый </w:t>
      </w:r>
      <w:r w:rsidR="00364DDF">
        <w:t>С</w:t>
      </w:r>
      <w:r w:rsidRPr="00FB1B7F">
        <w:t xml:space="preserve">овет </w:t>
      </w:r>
      <w:r>
        <w:t xml:space="preserve">УдГУ </w:t>
      </w:r>
      <w:r w:rsidR="00211B7D" w:rsidRPr="00211B7D">
        <w:t>29</w:t>
      </w:r>
      <w:r w:rsidRPr="00FB1B7F">
        <w:t xml:space="preserve"> </w:t>
      </w:r>
      <w:r w:rsidR="00712560" w:rsidRPr="00712560">
        <w:t xml:space="preserve">января </w:t>
      </w:r>
      <w:r w:rsidRPr="00FB1B7F">
        <w:t>20</w:t>
      </w:r>
      <w:r w:rsidR="00D961B9">
        <w:t>1</w:t>
      </w:r>
      <w:r w:rsidR="00211B7D" w:rsidRPr="00211B7D">
        <w:t>3</w:t>
      </w:r>
    </w:p>
    <w:p w:rsidR="00231980" w:rsidRPr="00FF49BD" w:rsidRDefault="00800C91" w:rsidP="00800C91">
      <w:pPr>
        <w:pStyle w:val="1"/>
        <w:jc w:val="center"/>
      </w:pPr>
      <w:r>
        <w:t xml:space="preserve">Доклад </w:t>
      </w:r>
      <w:r w:rsidR="007C522F">
        <w:br/>
      </w:r>
      <w:r>
        <w:t>«О</w:t>
      </w:r>
      <w:r w:rsidR="00211B7D">
        <w:t>б</w:t>
      </w:r>
      <w:r>
        <w:t xml:space="preserve"> </w:t>
      </w:r>
      <w:r w:rsidR="00211B7D">
        <w:t>итогах</w:t>
      </w:r>
      <w:r w:rsidR="00445B89">
        <w:t xml:space="preserve"> </w:t>
      </w:r>
      <w:r>
        <w:t>выполнени</w:t>
      </w:r>
      <w:r w:rsidR="00445B89">
        <w:t>я</w:t>
      </w:r>
      <w:r>
        <w:t xml:space="preserve"> Коллективного Договора УдГУ</w:t>
      </w:r>
      <w:r w:rsidR="00FF49BD">
        <w:t xml:space="preserve"> в 201</w:t>
      </w:r>
      <w:r w:rsidR="00211B7D">
        <w:t>0-2012</w:t>
      </w:r>
      <w:r w:rsidR="00FF49BD">
        <w:t xml:space="preserve"> год</w:t>
      </w:r>
      <w:r w:rsidR="00211B7D">
        <w:t>ах</w:t>
      </w:r>
      <w:r>
        <w:t>»</w:t>
      </w:r>
    </w:p>
    <w:p w:rsidR="00A252CE" w:rsidRPr="00A252CE" w:rsidRDefault="00A252CE" w:rsidP="00A252CE"/>
    <w:p w:rsidR="00800C91" w:rsidRPr="00712560" w:rsidRDefault="00800C91" w:rsidP="006A64E8">
      <w:pPr>
        <w:ind w:firstLine="540"/>
        <w:jc w:val="both"/>
        <w:rPr>
          <w:sz w:val="28"/>
          <w:szCs w:val="28"/>
        </w:rPr>
      </w:pPr>
      <w:r w:rsidRPr="00712560">
        <w:rPr>
          <w:sz w:val="28"/>
          <w:szCs w:val="28"/>
        </w:rPr>
        <w:t>Уважаемы</w:t>
      </w:r>
      <w:r w:rsidR="00712D1A" w:rsidRPr="00712560">
        <w:rPr>
          <w:sz w:val="28"/>
          <w:szCs w:val="28"/>
        </w:rPr>
        <w:t xml:space="preserve">й Председатель, уважаемые </w:t>
      </w:r>
      <w:r w:rsidR="00537F6E" w:rsidRPr="00712560">
        <w:rPr>
          <w:sz w:val="28"/>
          <w:szCs w:val="28"/>
        </w:rPr>
        <w:t>члены Ученого Совета</w:t>
      </w:r>
      <w:r w:rsidRPr="00712560">
        <w:rPr>
          <w:sz w:val="28"/>
          <w:szCs w:val="28"/>
        </w:rPr>
        <w:t>!</w:t>
      </w:r>
    </w:p>
    <w:p w:rsidR="00D961B9" w:rsidRPr="003317DE" w:rsidRDefault="00CA6F33" w:rsidP="006A64E8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>Слайд 1</w:t>
      </w:r>
    </w:p>
    <w:p w:rsidR="003317DE" w:rsidRPr="00251832" w:rsidRDefault="003317DE" w:rsidP="003317D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Pr="00251832">
        <w:rPr>
          <w:rFonts w:ascii="Arial" w:hAnsi="Arial" w:cs="Arial"/>
          <w:sz w:val="28"/>
          <w:szCs w:val="28"/>
          <w:bdr w:val="single" w:sz="4" w:space="0" w:color="auto"/>
        </w:rPr>
        <w:t>2</w:t>
      </w:r>
    </w:p>
    <w:p w:rsidR="00D961B9" w:rsidRPr="00A5363A" w:rsidRDefault="00C244C0" w:rsidP="00D961B9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D961B9" w:rsidRPr="00A5363A">
        <w:rPr>
          <w:b/>
          <w:i/>
          <w:sz w:val="28"/>
          <w:szCs w:val="28"/>
        </w:rPr>
        <w:t>О К</w:t>
      </w:r>
      <w:r w:rsidR="00712560">
        <w:rPr>
          <w:b/>
          <w:i/>
          <w:sz w:val="28"/>
          <w:szCs w:val="28"/>
        </w:rPr>
        <w:t>оллективном договоре УдГУ</w:t>
      </w:r>
    </w:p>
    <w:p w:rsidR="00D961B9" w:rsidRDefault="00211B7D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 декабря 2012 года з</w:t>
      </w:r>
      <w:r w:rsidR="00712560" w:rsidRPr="00712560">
        <w:rPr>
          <w:sz w:val="28"/>
          <w:szCs w:val="28"/>
        </w:rPr>
        <w:t xml:space="preserve">акончился </w:t>
      </w:r>
      <w:r>
        <w:rPr>
          <w:sz w:val="28"/>
          <w:szCs w:val="28"/>
        </w:rPr>
        <w:t>трехлетний срок</w:t>
      </w:r>
      <w:r w:rsidR="00712560" w:rsidRPr="00712560">
        <w:rPr>
          <w:sz w:val="28"/>
          <w:szCs w:val="28"/>
        </w:rPr>
        <w:t xml:space="preserve"> действия Коллекти</w:t>
      </w:r>
      <w:r w:rsidR="00712560" w:rsidRPr="00712560">
        <w:rPr>
          <w:sz w:val="28"/>
          <w:szCs w:val="28"/>
        </w:rPr>
        <w:t>в</w:t>
      </w:r>
      <w:r w:rsidR="00712560" w:rsidRPr="00712560">
        <w:rPr>
          <w:sz w:val="28"/>
          <w:szCs w:val="28"/>
        </w:rPr>
        <w:t xml:space="preserve">ного договора УдГУ, принятого на 2010-12 годы. </w:t>
      </w:r>
      <w:r>
        <w:rPr>
          <w:sz w:val="28"/>
          <w:szCs w:val="28"/>
        </w:rPr>
        <w:t>Действие КД было проло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гировано сторонами еще на три года до конца 2015 года. </w:t>
      </w:r>
      <w:r w:rsidR="00533BE4">
        <w:rPr>
          <w:sz w:val="28"/>
          <w:szCs w:val="28"/>
        </w:rPr>
        <w:t xml:space="preserve">В докладе будут не только подведены итоги выполнения КД за </w:t>
      </w:r>
      <w:r>
        <w:rPr>
          <w:sz w:val="28"/>
          <w:szCs w:val="28"/>
        </w:rPr>
        <w:t>предшествующий период</w:t>
      </w:r>
      <w:r w:rsidR="00533BE4">
        <w:rPr>
          <w:sz w:val="28"/>
          <w:szCs w:val="28"/>
        </w:rPr>
        <w:t>, но и проанализировано состояние социально-экономической и кадровой сферы УдГУ</w:t>
      </w:r>
      <w:r w:rsidR="00501D25">
        <w:rPr>
          <w:sz w:val="28"/>
          <w:szCs w:val="28"/>
        </w:rPr>
        <w:t>.</w:t>
      </w:r>
      <w:r w:rsidR="00533BE4">
        <w:rPr>
          <w:sz w:val="28"/>
          <w:szCs w:val="28"/>
        </w:rPr>
        <w:t xml:space="preserve"> Ход выполнения КД контролируется по разработанной системе ко</w:t>
      </w:r>
      <w:r w:rsidR="00533BE4">
        <w:rPr>
          <w:sz w:val="28"/>
          <w:szCs w:val="28"/>
        </w:rPr>
        <w:t>н</w:t>
      </w:r>
      <w:r w:rsidR="00533BE4">
        <w:rPr>
          <w:sz w:val="28"/>
          <w:szCs w:val="28"/>
        </w:rPr>
        <w:t>трольных показателей, включающей в себя сотни различных величин.</w:t>
      </w:r>
    </w:p>
    <w:p w:rsidR="001B10D8" w:rsidRPr="00712560" w:rsidRDefault="001B10D8" w:rsidP="006A64E8">
      <w:pPr>
        <w:ind w:firstLine="540"/>
        <w:jc w:val="both"/>
        <w:rPr>
          <w:sz w:val="28"/>
          <w:szCs w:val="28"/>
        </w:rPr>
      </w:pPr>
    </w:p>
    <w:p w:rsidR="001B10D8" w:rsidRPr="00251832" w:rsidRDefault="001B10D8" w:rsidP="001B10D8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Pr="00251832">
        <w:rPr>
          <w:rFonts w:ascii="Arial" w:hAnsi="Arial" w:cs="Arial"/>
          <w:sz w:val="28"/>
          <w:szCs w:val="28"/>
          <w:bdr w:val="single" w:sz="4" w:space="0" w:color="auto"/>
        </w:rPr>
        <w:t>3</w:t>
      </w:r>
    </w:p>
    <w:p w:rsidR="00007C39" w:rsidRPr="00A5363A" w:rsidRDefault="002D489F" w:rsidP="00007C39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007C39">
        <w:rPr>
          <w:b/>
          <w:i/>
          <w:sz w:val="28"/>
          <w:szCs w:val="28"/>
        </w:rPr>
        <w:t>Трудовые отношения</w:t>
      </w:r>
      <w:r w:rsidR="005F1C78">
        <w:rPr>
          <w:b/>
          <w:i/>
          <w:sz w:val="28"/>
          <w:szCs w:val="28"/>
        </w:rPr>
        <w:t xml:space="preserve"> и штаты</w:t>
      </w:r>
    </w:p>
    <w:p w:rsidR="003317DE" w:rsidRPr="003317DE" w:rsidRDefault="003317DE" w:rsidP="003317D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Pr="003317DE">
        <w:rPr>
          <w:rFonts w:ascii="Arial" w:hAnsi="Arial" w:cs="Arial"/>
          <w:sz w:val="28"/>
          <w:szCs w:val="28"/>
          <w:bdr w:val="single" w:sz="4" w:space="0" w:color="auto"/>
        </w:rPr>
        <w:t>4</w:t>
      </w:r>
    </w:p>
    <w:p w:rsidR="00CF50F8" w:rsidRDefault="00185105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работников УдГУ </w:t>
      </w:r>
      <w:r w:rsidR="00CE67C8" w:rsidRPr="00CE67C8">
        <w:rPr>
          <w:sz w:val="28"/>
          <w:szCs w:val="28"/>
        </w:rPr>
        <w:t>(</w:t>
      </w:r>
      <w:r w:rsidR="00CE67C8">
        <w:rPr>
          <w:sz w:val="28"/>
          <w:szCs w:val="28"/>
        </w:rPr>
        <w:t>без учета внешних с</w:t>
      </w:r>
      <w:r w:rsidR="00CE67C8">
        <w:rPr>
          <w:sz w:val="28"/>
          <w:szCs w:val="28"/>
        </w:rPr>
        <w:t>о</w:t>
      </w:r>
      <w:r w:rsidR="00CE67C8">
        <w:rPr>
          <w:sz w:val="28"/>
          <w:szCs w:val="28"/>
        </w:rPr>
        <w:t>вместителей</w:t>
      </w:r>
      <w:r w:rsidR="00CE67C8" w:rsidRPr="00CE67C8">
        <w:rPr>
          <w:sz w:val="28"/>
          <w:szCs w:val="28"/>
        </w:rPr>
        <w:t xml:space="preserve">) </w:t>
      </w:r>
      <w:r>
        <w:rPr>
          <w:sz w:val="28"/>
          <w:szCs w:val="28"/>
        </w:rPr>
        <w:t>в 201</w:t>
      </w:r>
      <w:r w:rsidR="003317DE" w:rsidRPr="003317D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составила </w:t>
      </w:r>
      <w:r w:rsidR="009E6E99">
        <w:rPr>
          <w:sz w:val="28"/>
          <w:szCs w:val="28"/>
        </w:rPr>
        <w:t>2941</w:t>
      </w:r>
      <w:r>
        <w:rPr>
          <w:sz w:val="28"/>
          <w:szCs w:val="28"/>
        </w:rPr>
        <w:t xml:space="preserve"> человек, </w:t>
      </w:r>
      <w:r w:rsidR="003317DE" w:rsidRPr="003317DE">
        <w:rPr>
          <w:sz w:val="28"/>
          <w:szCs w:val="28"/>
        </w:rPr>
        <w:t xml:space="preserve">что на </w:t>
      </w:r>
      <w:r w:rsidR="003317DE">
        <w:rPr>
          <w:sz w:val="28"/>
          <w:szCs w:val="28"/>
        </w:rPr>
        <w:t>7,</w:t>
      </w:r>
      <w:r w:rsidR="003317DE" w:rsidRPr="003317DE">
        <w:rPr>
          <w:sz w:val="28"/>
          <w:szCs w:val="28"/>
        </w:rPr>
        <w:t>8% ниже показ</w:t>
      </w:r>
      <w:r w:rsidR="003317DE" w:rsidRPr="003317DE">
        <w:rPr>
          <w:sz w:val="28"/>
          <w:szCs w:val="28"/>
        </w:rPr>
        <w:t>а</w:t>
      </w:r>
      <w:r w:rsidR="003317DE" w:rsidRPr="003317DE">
        <w:rPr>
          <w:sz w:val="28"/>
          <w:szCs w:val="28"/>
        </w:rPr>
        <w:t xml:space="preserve">теля 2011 года, </w:t>
      </w:r>
      <w:r>
        <w:rPr>
          <w:sz w:val="28"/>
          <w:szCs w:val="28"/>
        </w:rPr>
        <w:t>средне</w:t>
      </w:r>
      <w:r w:rsidR="00F92779">
        <w:rPr>
          <w:sz w:val="28"/>
          <w:szCs w:val="28"/>
        </w:rPr>
        <w:t xml:space="preserve">е количество ставок </w:t>
      </w:r>
      <w:r w:rsidR="003317DE">
        <w:rPr>
          <w:sz w:val="28"/>
          <w:szCs w:val="28"/>
        </w:rPr>
        <w:t>2538</w:t>
      </w:r>
      <w:r w:rsidR="009E6E99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</w:t>
      </w:r>
      <w:r w:rsidR="00F92779">
        <w:rPr>
          <w:sz w:val="28"/>
          <w:szCs w:val="28"/>
        </w:rPr>
        <w:t>х</w:t>
      </w:r>
      <w:r>
        <w:rPr>
          <w:sz w:val="28"/>
          <w:szCs w:val="28"/>
        </w:rPr>
        <w:t xml:space="preserve"> единиц. Распред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ление численности работников и ставок по категориям представлено </w:t>
      </w:r>
      <w:r w:rsidR="007D03A5">
        <w:rPr>
          <w:sz w:val="28"/>
          <w:szCs w:val="28"/>
        </w:rPr>
        <w:t>на сла</w:t>
      </w:r>
      <w:r w:rsidR="007D03A5">
        <w:rPr>
          <w:sz w:val="28"/>
          <w:szCs w:val="28"/>
        </w:rPr>
        <w:t>й</w:t>
      </w:r>
      <w:r w:rsidR="007D03A5">
        <w:rPr>
          <w:sz w:val="28"/>
          <w:szCs w:val="28"/>
        </w:rPr>
        <w:t>де (</w:t>
      </w:r>
      <w:r w:rsidR="002975E3">
        <w:rPr>
          <w:sz w:val="28"/>
          <w:szCs w:val="28"/>
        </w:rPr>
        <w:fldChar w:fldCharType="begin"/>
      </w:r>
      <w:r w:rsidR="00F515E8">
        <w:rPr>
          <w:sz w:val="28"/>
          <w:szCs w:val="28"/>
        </w:rPr>
        <w:instrText xml:space="preserve"> REF _Ref315113000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F515E8">
        <w:t xml:space="preserve">Таблица </w:t>
      </w:r>
      <w:r w:rsidR="00F515E8">
        <w:rPr>
          <w:noProof/>
        </w:rPr>
        <w:t>1</w:t>
      </w:r>
      <w:r w:rsidR="002975E3">
        <w:rPr>
          <w:sz w:val="28"/>
          <w:szCs w:val="28"/>
        </w:rPr>
        <w:fldChar w:fldCharType="end"/>
      </w:r>
      <w:r w:rsidR="007D03A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85105" w:rsidRDefault="00185105" w:rsidP="00185105">
      <w:pPr>
        <w:pStyle w:val="a8"/>
        <w:keepNext/>
      </w:pPr>
      <w:bookmarkStart w:id="0" w:name="_Ref315113000"/>
      <w:r>
        <w:t xml:space="preserve">Таблица </w:t>
      </w:r>
      <w:fldSimple w:instr=" SEQ Таблица \* ARABIC ">
        <w:r w:rsidR="00622AF7">
          <w:rPr>
            <w:noProof/>
          </w:rPr>
          <w:t>1</w:t>
        </w:r>
      </w:fldSimple>
      <w:bookmarkEnd w:id="0"/>
      <w:r>
        <w:t>. Среднесписочная численность работников УдГУ в 201</w:t>
      </w:r>
      <w:r w:rsidR="003317DE">
        <w:t>2</w:t>
      </w:r>
      <w:r>
        <w:t xml:space="preserve"> </w:t>
      </w:r>
    </w:p>
    <w:tbl>
      <w:tblPr>
        <w:tblStyle w:val="a6"/>
        <w:tblW w:w="0" w:type="auto"/>
        <w:tblLook w:val="04A0"/>
      </w:tblPr>
      <w:tblGrid>
        <w:gridCol w:w="1951"/>
        <w:gridCol w:w="3827"/>
        <w:gridCol w:w="3191"/>
      </w:tblGrid>
      <w:tr w:rsidR="00185105" w:rsidRPr="00F92779" w:rsidTr="00185105">
        <w:tc>
          <w:tcPr>
            <w:tcW w:w="1951" w:type="dxa"/>
            <w:vAlign w:val="center"/>
          </w:tcPr>
          <w:p w:rsidR="00185105" w:rsidRPr="00F92779" w:rsidRDefault="00185105" w:rsidP="00185105">
            <w:pPr>
              <w:jc w:val="center"/>
              <w:rPr>
                <w:b/>
                <w:sz w:val="28"/>
                <w:szCs w:val="28"/>
              </w:rPr>
            </w:pPr>
            <w:r w:rsidRPr="00F92779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3827" w:type="dxa"/>
            <w:vAlign w:val="center"/>
          </w:tcPr>
          <w:p w:rsidR="00185105" w:rsidRPr="00F92779" w:rsidRDefault="00185105" w:rsidP="00185105">
            <w:pPr>
              <w:jc w:val="center"/>
              <w:rPr>
                <w:b/>
                <w:sz w:val="28"/>
                <w:szCs w:val="28"/>
              </w:rPr>
            </w:pPr>
            <w:r w:rsidRPr="00F92779">
              <w:rPr>
                <w:b/>
                <w:sz w:val="28"/>
                <w:szCs w:val="28"/>
              </w:rPr>
              <w:t>Среднесписочная числе</w:t>
            </w:r>
            <w:r w:rsidRPr="00F92779">
              <w:rPr>
                <w:b/>
                <w:sz w:val="28"/>
                <w:szCs w:val="28"/>
              </w:rPr>
              <w:t>н</w:t>
            </w:r>
            <w:r w:rsidRPr="00F92779">
              <w:rPr>
                <w:b/>
                <w:sz w:val="28"/>
                <w:szCs w:val="28"/>
              </w:rPr>
              <w:t>ность, чел.</w:t>
            </w:r>
          </w:p>
        </w:tc>
        <w:tc>
          <w:tcPr>
            <w:tcW w:w="3191" w:type="dxa"/>
            <w:vAlign w:val="center"/>
          </w:tcPr>
          <w:p w:rsidR="00185105" w:rsidRPr="00F92779" w:rsidRDefault="00185105" w:rsidP="00185105">
            <w:pPr>
              <w:jc w:val="center"/>
              <w:rPr>
                <w:b/>
                <w:sz w:val="28"/>
                <w:szCs w:val="28"/>
              </w:rPr>
            </w:pPr>
            <w:r w:rsidRPr="00F92779">
              <w:rPr>
                <w:b/>
                <w:sz w:val="28"/>
                <w:szCs w:val="28"/>
              </w:rPr>
              <w:t>Среднее количество ставок, шт.ед.</w:t>
            </w:r>
          </w:p>
        </w:tc>
      </w:tr>
      <w:tr w:rsidR="003317DE" w:rsidTr="00185105">
        <w:tc>
          <w:tcPr>
            <w:tcW w:w="1951" w:type="dxa"/>
          </w:tcPr>
          <w:p w:rsidR="003317DE" w:rsidRDefault="003317DE" w:rsidP="006A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ППС</w:t>
            </w:r>
          </w:p>
        </w:tc>
        <w:tc>
          <w:tcPr>
            <w:tcW w:w="3827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bCs/>
                <w:kern w:val="24"/>
              </w:rPr>
              <w:t xml:space="preserve">903 </w:t>
            </w:r>
          </w:p>
        </w:tc>
        <w:tc>
          <w:tcPr>
            <w:tcW w:w="3191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bCs/>
                <w:color w:val="000000"/>
                <w:kern w:val="24"/>
              </w:rPr>
              <w:t xml:space="preserve">800,26 </w:t>
            </w:r>
          </w:p>
        </w:tc>
      </w:tr>
      <w:tr w:rsidR="003317DE" w:rsidTr="00185105">
        <w:tc>
          <w:tcPr>
            <w:tcW w:w="1951" w:type="dxa"/>
          </w:tcPr>
          <w:p w:rsidR="003317DE" w:rsidRDefault="003317DE" w:rsidP="006A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УВП</w:t>
            </w:r>
          </w:p>
        </w:tc>
        <w:tc>
          <w:tcPr>
            <w:tcW w:w="3827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818 </w:t>
            </w:r>
          </w:p>
        </w:tc>
        <w:tc>
          <w:tcPr>
            <w:tcW w:w="3191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766,10 </w:t>
            </w:r>
          </w:p>
        </w:tc>
      </w:tr>
      <w:tr w:rsidR="003317DE" w:rsidTr="00185105">
        <w:tc>
          <w:tcPr>
            <w:tcW w:w="1951" w:type="dxa"/>
          </w:tcPr>
          <w:p w:rsidR="003317DE" w:rsidRDefault="003317DE" w:rsidP="006A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АУП</w:t>
            </w:r>
          </w:p>
        </w:tc>
        <w:tc>
          <w:tcPr>
            <w:tcW w:w="3827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439 </w:t>
            </w:r>
          </w:p>
        </w:tc>
        <w:tc>
          <w:tcPr>
            <w:tcW w:w="3191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429,29 </w:t>
            </w:r>
          </w:p>
        </w:tc>
      </w:tr>
      <w:tr w:rsidR="003317DE" w:rsidTr="00185105">
        <w:tc>
          <w:tcPr>
            <w:tcW w:w="1951" w:type="dxa"/>
          </w:tcPr>
          <w:p w:rsidR="003317DE" w:rsidRDefault="003317DE" w:rsidP="006A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</w:t>
            </w:r>
          </w:p>
        </w:tc>
        <w:tc>
          <w:tcPr>
            <w:tcW w:w="3827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499 </w:t>
            </w:r>
          </w:p>
        </w:tc>
        <w:tc>
          <w:tcPr>
            <w:tcW w:w="3191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492,65 </w:t>
            </w:r>
          </w:p>
        </w:tc>
      </w:tr>
      <w:tr w:rsidR="003317DE" w:rsidTr="00185105">
        <w:tc>
          <w:tcPr>
            <w:tcW w:w="1951" w:type="dxa"/>
          </w:tcPr>
          <w:p w:rsidR="003317DE" w:rsidRDefault="003317DE" w:rsidP="006A6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3827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53 </w:t>
            </w:r>
          </w:p>
        </w:tc>
        <w:tc>
          <w:tcPr>
            <w:tcW w:w="3191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49,98 </w:t>
            </w:r>
          </w:p>
        </w:tc>
      </w:tr>
      <w:tr w:rsidR="003317DE" w:rsidRPr="00F92779" w:rsidTr="00185105">
        <w:tc>
          <w:tcPr>
            <w:tcW w:w="1951" w:type="dxa"/>
          </w:tcPr>
          <w:p w:rsidR="003317DE" w:rsidRPr="00F92779" w:rsidRDefault="003317DE" w:rsidP="006A64E8">
            <w:pPr>
              <w:jc w:val="both"/>
              <w:rPr>
                <w:b/>
                <w:sz w:val="28"/>
                <w:szCs w:val="28"/>
              </w:rPr>
            </w:pPr>
            <w:r w:rsidRPr="00F9277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827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2711 </w:t>
            </w:r>
          </w:p>
        </w:tc>
        <w:tc>
          <w:tcPr>
            <w:tcW w:w="3191" w:type="dxa"/>
            <w:vAlign w:val="center"/>
          </w:tcPr>
          <w:p w:rsidR="003317DE" w:rsidRPr="003317DE" w:rsidRDefault="003317DE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317DE">
              <w:rPr>
                <w:rFonts w:ascii="Arial" w:hAnsi="Arial" w:cs="Arial"/>
                <w:color w:val="000000"/>
                <w:kern w:val="24"/>
              </w:rPr>
              <w:t xml:space="preserve">2538,27 </w:t>
            </w:r>
          </w:p>
        </w:tc>
      </w:tr>
    </w:tbl>
    <w:p w:rsidR="00F92779" w:rsidRDefault="00F92779" w:rsidP="006A64E8">
      <w:pPr>
        <w:ind w:firstLine="540"/>
        <w:jc w:val="both"/>
        <w:rPr>
          <w:sz w:val="28"/>
          <w:szCs w:val="28"/>
        </w:rPr>
      </w:pPr>
    </w:p>
    <w:p w:rsidR="007D03A5" w:rsidRDefault="007D03A5" w:rsidP="006A64E8">
      <w:pPr>
        <w:ind w:firstLine="540"/>
        <w:jc w:val="both"/>
        <w:rPr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3317DE">
        <w:rPr>
          <w:rFonts w:ascii="Arial" w:hAnsi="Arial" w:cs="Arial"/>
          <w:sz w:val="28"/>
          <w:szCs w:val="28"/>
          <w:bdr w:val="single" w:sz="4" w:space="0" w:color="auto"/>
        </w:rPr>
        <w:t>5</w:t>
      </w:r>
    </w:p>
    <w:p w:rsidR="007D03A5" w:rsidRDefault="007D03A5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– соотношение категорий работников по </w:t>
      </w:r>
      <w:r w:rsidR="00EC5956">
        <w:rPr>
          <w:sz w:val="28"/>
          <w:szCs w:val="28"/>
        </w:rPr>
        <w:t>количеству штатных единиц</w:t>
      </w:r>
      <w:r w:rsidR="00276B43">
        <w:rPr>
          <w:sz w:val="28"/>
          <w:szCs w:val="28"/>
        </w:rPr>
        <w:t xml:space="preserve">. </w:t>
      </w:r>
    </w:p>
    <w:p w:rsidR="007D03A5" w:rsidRPr="00CA6F33" w:rsidRDefault="007D03A5" w:rsidP="007D03A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276B43">
        <w:rPr>
          <w:rFonts w:ascii="Arial" w:hAnsi="Arial" w:cs="Arial"/>
          <w:sz w:val="28"/>
          <w:szCs w:val="28"/>
          <w:bdr w:val="single" w:sz="4" w:space="0" w:color="auto"/>
        </w:rPr>
        <w:t>6</w:t>
      </w:r>
    </w:p>
    <w:p w:rsidR="00EC5956" w:rsidRPr="00F04721" w:rsidRDefault="00F92779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динамике </w:t>
      </w:r>
      <w:r w:rsidR="00251832">
        <w:rPr>
          <w:sz w:val="28"/>
          <w:szCs w:val="28"/>
        </w:rPr>
        <w:t xml:space="preserve">– среднесписочная </w:t>
      </w:r>
      <w:r>
        <w:rPr>
          <w:sz w:val="28"/>
          <w:szCs w:val="28"/>
        </w:rPr>
        <w:t>численность основны</w:t>
      </w:r>
      <w:r w:rsidR="00EC5956">
        <w:rPr>
          <w:sz w:val="28"/>
          <w:szCs w:val="28"/>
        </w:rPr>
        <w:t>х</w:t>
      </w:r>
      <w:r>
        <w:rPr>
          <w:sz w:val="28"/>
          <w:szCs w:val="28"/>
        </w:rPr>
        <w:t xml:space="preserve"> работник</w:t>
      </w:r>
      <w:r w:rsidR="00EC5956">
        <w:rPr>
          <w:sz w:val="28"/>
          <w:szCs w:val="28"/>
        </w:rPr>
        <w:t>ов</w:t>
      </w:r>
      <w:r>
        <w:rPr>
          <w:sz w:val="28"/>
          <w:szCs w:val="28"/>
        </w:rPr>
        <w:t xml:space="preserve"> в </w:t>
      </w:r>
      <w:r w:rsidR="00276B43">
        <w:rPr>
          <w:sz w:val="28"/>
          <w:szCs w:val="28"/>
        </w:rPr>
        <w:t>2012</w:t>
      </w:r>
      <w:r>
        <w:rPr>
          <w:sz w:val="28"/>
          <w:szCs w:val="28"/>
        </w:rPr>
        <w:t xml:space="preserve"> год</w:t>
      </w:r>
      <w:r w:rsidR="0025183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872F9">
        <w:rPr>
          <w:sz w:val="28"/>
          <w:szCs w:val="28"/>
        </w:rPr>
        <w:t>(</w:t>
      </w:r>
      <w:r w:rsidR="002975E3">
        <w:rPr>
          <w:sz w:val="28"/>
          <w:szCs w:val="28"/>
        </w:rPr>
        <w:fldChar w:fldCharType="begin"/>
      </w:r>
      <w:r w:rsidR="00F515E8">
        <w:rPr>
          <w:sz w:val="28"/>
          <w:szCs w:val="28"/>
        </w:rPr>
        <w:instrText xml:space="preserve"> REF _Ref315112986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F515E8">
        <w:t xml:space="preserve">Таблица </w:t>
      </w:r>
      <w:r w:rsidR="00F515E8">
        <w:rPr>
          <w:noProof/>
        </w:rPr>
        <w:t>2</w:t>
      </w:r>
      <w:r w:rsidR="002975E3">
        <w:rPr>
          <w:sz w:val="28"/>
          <w:szCs w:val="28"/>
        </w:rPr>
        <w:fldChar w:fldCharType="end"/>
      </w:r>
      <w:r w:rsidR="00E872F9">
        <w:rPr>
          <w:sz w:val="28"/>
          <w:szCs w:val="28"/>
        </w:rPr>
        <w:t>)</w:t>
      </w:r>
      <w:r w:rsidR="00EC5956">
        <w:rPr>
          <w:sz w:val="28"/>
          <w:szCs w:val="28"/>
        </w:rPr>
        <w:t xml:space="preserve">. </w:t>
      </w:r>
      <w:r w:rsidR="00251832">
        <w:rPr>
          <w:sz w:val="28"/>
          <w:szCs w:val="28"/>
        </w:rPr>
        <w:t>На 13% снизилась число работников ПОП, на 10% - УВП, на 5,5% - ППС</w:t>
      </w:r>
      <w:r w:rsidR="00EC5956">
        <w:rPr>
          <w:sz w:val="28"/>
          <w:szCs w:val="28"/>
        </w:rPr>
        <w:t>.</w:t>
      </w:r>
      <w:r w:rsidR="00251832">
        <w:rPr>
          <w:sz w:val="28"/>
          <w:szCs w:val="28"/>
        </w:rPr>
        <w:t xml:space="preserve"> </w:t>
      </w:r>
      <w:r w:rsidR="00F04721">
        <w:rPr>
          <w:sz w:val="28"/>
          <w:szCs w:val="28"/>
        </w:rPr>
        <w:t>В целом количество работников за год снизилось на 7,3%.</w:t>
      </w:r>
    </w:p>
    <w:p w:rsidR="00F04721" w:rsidRDefault="00F04721" w:rsidP="00F04721">
      <w:pPr>
        <w:pStyle w:val="a8"/>
        <w:keepNext/>
      </w:pPr>
      <w:r>
        <w:lastRenderedPageBreak/>
        <w:t xml:space="preserve">Таблица </w:t>
      </w:r>
      <w:fldSimple w:instr=" SEQ Таблица \* ARABIC ">
        <w:r w:rsidR="00622AF7">
          <w:rPr>
            <w:noProof/>
          </w:rPr>
          <w:t>2</w:t>
        </w:r>
      </w:fldSimple>
      <w:r>
        <w:t xml:space="preserve">. </w:t>
      </w:r>
      <w:r w:rsidRPr="00F04721">
        <w:t>Среднесписочная численность основных работников в 2010-2012 гг.</w:t>
      </w:r>
    </w:p>
    <w:tbl>
      <w:tblPr>
        <w:tblStyle w:val="a6"/>
        <w:tblW w:w="8754" w:type="dxa"/>
        <w:tblLook w:val="04A0"/>
      </w:tblPr>
      <w:tblGrid>
        <w:gridCol w:w="1580"/>
        <w:gridCol w:w="1598"/>
        <w:gridCol w:w="1892"/>
        <w:gridCol w:w="1842"/>
        <w:gridCol w:w="1842"/>
      </w:tblGrid>
      <w:tr w:rsidR="00F04721" w:rsidRPr="00251832" w:rsidTr="00F04721">
        <w:trPr>
          <w:trHeight w:val="416"/>
        </w:trPr>
        <w:tc>
          <w:tcPr>
            <w:tcW w:w="1580" w:type="dxa"/>
            <w:shd w:val="clear" w:color="auto" w:fill="D9D9D9" w:themeFill="background1" w:themeFillShade="D9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</w:p>
        </w:tc>
        <w:tc>
          <w:tcPr>
            <w:tcW w:w="1598" w:type="dxa"/>
            <w:shd w:val="clear" w:color="auto" w:fill="D9D9D9" w:themeFill="background1" w:themeFillShade="D9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 xml:space="preserve">2010 год </w:t>
            </w:r>
          </w:p>
        </w:tc>
        <w:tc>
          <w:tcPr>
            <w:tcW w:w="1892" w:type="dxa"/>
            <w:shd w:val="clear" w:color="auto" w:fill="D9D9D9" w:themeFill="background1" w:themeFillShade="D9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 xml:space="preserve">2011 год </w:t>
            </w:r>
          </w:p>
        </w:tc>
        <w:tc>
          <w:tcPr>
            <w:tcW w:w="1842" w:type="dxa"/>
            <w:shd w:val="clear" w:color="auto" w:fill="D9D9D9" w:themeFill="background1" w:themeFillShade="D9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2012 год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2012 к 2011</w:t>
            </w:r>
          </w:p>
        </w:tc>
      </w:tr>
      <w:tr w:rsidR="00F04721" w:rsidRPr="00251832" w:rsidTr="00F04721">
        <w:trPr>
          <w:trHeight w:val="126"/>
        </w:trPr>
        <w:tc>
          <w:tcPr>
            <w:tcW w:w="1580" w:type="dxa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ППС</w:t>
            </w:r>
          </w:p>
        </w:tc>
        <w:tc>
          <w:tcPr>
            <w:tcW w:w="1598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974</w:t>
            </w:r>
          </w:p>
        </w:tc>
        <w:tc>
          <w:tcPr>
            <w:tcW w:w="189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956</w:t>
            </w:r>
          </w:p>
        </w:tc>
        <w:tc>
          <w:tcPr>
            <w:tcW w:w="184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903</w:t>
            </w:r>
          </w:p>
        </w:tc>
        <w:tc>
          <w:tcPr>
            <w:tcW w:w="1842" w:type="dxa"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94,5%</w:t>
            </w:r>
          </w:p>
        </w:tc>
      </w:tr>
      <w:tr w:rsidR="00F04721" w:rsidRPr="00251832" w:rsidTr="00F04721">
        <w:trPr>
          <w:trHeight w:val="268"/>
        </w:trPr>
        <w:tc>
          <w:tcPr>
            <w:tcW w:w="1580" w:type="dxa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УВП</w:t>
            </w:r>
          </w:p>
        </w:tc>
        <w:tc>
          <w:tcPr>
            <w:tcW w:w="1598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914</w:t>
            </w:r>
          </w:p>
        </w:tc>
        <w:tc>
          <w:tcPr>
            <w:tcW w:w="189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909</w:t>
            </w:r>
          </w:p>
        </w:tc>
        <w:tc>
          <w:tcPr>
            <w:tcW w:w="184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818</w:t>
            </w:r>
          </w:p>
        </w:tc>
        <w:tc>
          <w:tcPr>
            <w:tcW w:w="1842" w:type="dxa"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89,9%</w:t>
            </w:r>
          </w:p>
        </w:tc>
      </w:tr>
      <w:tr w:rsidR="00F04721" w:rsidRPr="00251832" w:rsidTr="00F04721">
        <w:trPr>
          <w:trHeight w:val="272"/>
        </w:trPr>
        <w:tc>
          <w:tcPr>
            <w:tcW w:w="1580" w:type="dxa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АУП</w:t>
            </w:r>
          </w:p>
        </w:tc>
        <w:tc>
          <w:tcPr>
            <w:tcW w:w="1598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430</w:t>
            </w:r>
          </w:p>
        </w:tc>
        <w:tc>
          <w:tcPr>
            <w:tcW w:w="189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442</w:t>
            </w:r>
          </w:p>
        </w:tc>
        <w:tc>
          <w:tcPr>
            <w:tcW w:w="184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439</w:t>
            </w:r>
          </w:p>
        </w:tc>
        <w:tc>
          <w:tcPr>
            <w:tcW w:w="1842" w:type="dxa"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99,3%</w:t>
            </w:r>
          </w:p>
        </w:tc>
      </w:tr>
      <w:tr w:rsidR="00F04721" w:rsidRPr="00251832" w:rsidTr="00F04721">
        <w:trPr>
          <w:trHeight w:val="276"/>
        </w:trPr>
        <w:tc>
          <w:tcPr>
            <w:tcW w:w="1580" w:type="dxa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ПОП</w:t>
            </w:r>
          </w:p>
        </w:tc>
        <w:tc>
          <w:tcPr>
            <w:tcW w:w="1598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573</w:t>
            </w:r>
          </w:p>
        </w:tc>
        <w:tc>
          <w:tcPr>
            <w:tcW w:w="189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576</w:t>
            </w:r>
          </w:p>
        </w:tc>
        <w:tc>
          <w:tcPr>
            <w:tcW w:w="184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499</w:t>
            </w:r>
          </w:p>
        </w:tc>
        <w:tc>
          <w:tcPr>
            <w:tcW w:w="1842" w:type="dxa"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86,6%</w:t>
            </w:r>
          </w:p>
        </w:tc>
      </w:tr>
      <w:tr w:rsidR="00F04721" w:rsidRPr="00251832" w:rsidTr="00F04721">
        <w:trPr>
          <w:trHeight w:val="265"/>
        </w:trPr>
        <w:tc>
          <w:tcPr>
            <w:tcW w:w="1580" w:type="dxa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НП</w:t>
            </w:r>
          </w:p>
        </w:tc>
        <w:tc>
          <w:tcPr>
            <w:tcW w:w="1598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57</w:t>
            </w:r>
          </w:p>
        </w:tc>
        <w:tc>
          <w:tcPr>
            <w:tcW w:w="189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58</w:t>
            </w:r>
          </w:p>
        </w:tc>
        <w:tc>
          <w:tcPr>
            <w:tcW w:w="184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53</w:t>
            </w:r>
          </w:p>
        </w:tc>
        <w:tc>
          <w:tcPr>
            <w:tcW w:w="1842" w:type="dxa"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91,3%</w:t>
            </w:r>
          </w:p>
        </w:tc>
      </w:tr>
      <w:tr w:rsidR="00F04721" w:rsidRPr="00251832" w:rsidTr="00F04721">
        <w:trPr>
          <w:trHeight w:val="269"/>
        </w:trPr>
        <w:tc>
          <w:tcPr>
            <w:tcW w:w="1580" w:type="dxa"/>
            <w:hideMark/>
          </w:tcPr>
          <w:p w:rsidR="00F04721" w:rsidRPr="00251832" w:rsidRDefault="00F04721" w:rsidP="00251832">
            <w:pPr>
              <w:jc w:val="center"/>
              <w:textAlignment w:val="bottom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ВСЕГО</w:t>
            </w:r>
          </w:p>
        </w:tc>
        <w:tc>
          <w:tcPr>
            <w:tcW w:w="1598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2948</w:t>
            </w:r>
          </w:p>
        </w:tc>
        <w:tc>
          <w:tcPr>
            <w:tcW w:w="189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color w:val="000000"/>
                <w:kern w:val="24"/>
              </w:rPr>
              <w:t>2941</w:t>
            </w:r>
          </w:p>
        </w:tc>
        <w:tc>
          <w:tcPr>
            <w:tcW w:w="1842" w:type="dxa"/>
            <w:hideMark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</w:rPr>
            </w:pPr>
            <w:r w:rsidRPr="00251832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2711</w:t>
            </w:r>
          </w:p>
        </w:tc>
        <w:tc>
          <w:tcPr>
            <w:tcW w:w="1842" w:type="dxa"/>
          </w:tcPr>
          <w:p w:rsidR="00F04721" w:rsidRPr="00251832" w:rsidRDefault="00F04721" w:rsidP="00251832">
            <w:pPr>
              <w:jc w:val="center"/>
              <w:textAlignment w:val="center"/>
              <w:rPr>
                <w:rFonts w:ascii="Courier New" w:hAnsi="Courier New" w:cs="Courier New"/>
                <w:b/>
                <w:bCs/>
                <w:color w:val="000000"/>
                <w:kern w:val="24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92,7%</w:t>
            </w:r>
          </w:p>
        </w:tc>
      </w:tr>
    </w:tbl>
    <w:p w:rsidR="00251832" w:rsidRDefault="00251832" w:rsidP="006A64E8">
      <w:pPr>
        <w:ind w:firstLine="540"/>
        <w:jc w:val="both"/>
        <w:rPr>
          <w:sz w:val="28"/>
          <w:szCs w:val="28"/>
        </w:rPr>
      </w:pPr>
    </w:p>
    <w:p w:rsidR="00EC5956" w:rsidRDefault="00EC5956" w:rsidP="00EC5956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F04721">
        <w:rPr>
          <w:rFonts w:ascii="Arial" w:hAnsi="Arial" w:cs="Arial"/>
          <w:sz w:val="28"/>
          <w:szCs w:val="28"/>
          <w:bdr w:val="single" w:sz="4" w:space="0" w:color="auto"/>
        </w:rPr>
        <w:t>7</w:t>
      </w:r>
    </w:p>
    <w:p w:rsidR="00F04721" w:rsidRDefault="00F04721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 же данные – на диаграмме.</w:t>
      </w:r>
    </w:p>
    <w:p w:rsidR="00F04721" w:rsidRDefault="00F04721" w:rsidP="006A64E8">
      <w:pPr>
        <w:ind w:firstLine="540"/>
        <w:jc w:val="both"/>
        <w:rPr>
          <w:sz w:val="28"/>
          <w:szCs w:val="28"/>
        </w:rPr>
      </w:pPr>
    </w:p>
    <w:p w:rsidR="00F04721" w:rsidRDefault="00F04721" w:rsidP="00F04721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8</w:t>
      </w:r>
    </w:p>
    <w:p w:rsidR="00F04721" w:rsidRDefault="00F04721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</w:t>
      </w:r>
      <w:r w:rsidR="00A07482">
        <w:rPr>
          <w:sz w:val="28"/>
          <w:szCs w:val="28"/>
        </w:rPr>
        <w:t>(</w:t>
      </w:r>
      <w:r w:rsidR="002975E3">
        <w:rPr>
          <w:sz w:val="28"/>
          <w:szCs w:val="28"/>
        </w:rPr>
        <w:fldChar w:fldCharType="begin"/>
      </w:r>
      <w:r w:rsidR="008E7F44">
        <w:rPr>
          <w:sz w:val="28"/>
          <w:szCs w:val="28"/>
        </w:rPr>
        <w:instrText xml:space="preserve"> REF _Ref346728712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8E7F44">
        <w:t xml:space="preserve">Рисунок </w:t>
      </w:r>
      <w:r w:rsidR="008E7F44">
        <w:rPr>
          <w:noProof/>
        </w:rPr>
        <w:t>1</w:t>
      </w:r>
      <w:r w:rsidR="002975E3">
        <w:rPr>
          <w:sz w:val="28"/>
          <w:szCs w:val="28"/>
        </w:rPr>
        <w:fldChar w:fldCharType="end"/>
      </w:r>
      <w:r w:rsidR="00A07482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представлена динамика изменения штатного состава основных работников помесячно в 2012 году. Очевидно, что в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процессы сокращения коснулись УВП и ПОП. </w:t>
      </w:r>
      <w:r w:rsidR="00A07482">
        <w:rPr>
          <w:sz w:val="28"/>
          <w:szCs w:val="28"/>
        </w:rPr>
        <w:t>Надо сказать, что еще в предыдущем году наблюдалась противоположная тенденция – увеличение количества ставок УВП и АУП.</w:t>
      </w:r>
    </w:p>
    <w:p w:rsidR="00A07482" w:rsidRDefault="00A07482" w:rsidP="00A07482">
      <w:pPr>
        <w:keepNext/>
        <w:ind w:firstLine="540"/>
        <w:jc w:val="both"/>
      </w:pPr>
      <w:r w:rsidRPr="00A07482">
        <w:rPr>
          <w:noProof/>
          <w:sz w:val="28"/>
          <w:szCs w:val="28"/>
        </w:rPr>
        <w:drawing>
          <wp:inline distT="0" distB="0" distL="0" distR="0">
            <wp:extent cx="4649932" cy="2341418"/>
            <wp:effectExtent l="19050" t="0" r="17318" b="1732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07482" w:rsidRDefault="00A07482" w:rsidP="00A07482">
      <w:pPr>
        <w:pStyle w:val="a8"/>
        <w:jc w:val="both"/>
      </w:pPr>
      <w:bookmarkStart w:id="1" w:name="_Ref346728712"/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bookmarkEnd w:id="1"/>
      <w:r>
        <w:t xml:space="preserve">. </w:t>
      </w:r>
      <w:r w:rsidRPr="00150568">
        <w:t>Динамика количества ставок основных работников в 2012 году, шт. ед</w:t>
      </w:r>
      <w:r>
        <w:t>.</w:t>
      </w:r>
    </w:p>
    <w:p w:rsidR="00EA0E1B" w:rsidRDefault="00EA0E1B" w:rsidP="00EA0E1B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9</w:t>
      </w:r>
    </w:p>
    <w:p w:rsidR="00185105" w:rsidRPr="00BF077F" w:rsidRDefault="00BF077F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неоптимальной структурой штатного расписания УдГУ в 2012 году начались активные мероприятия по ее оптимизации, сокращение штатов и численности</w:t>
      </w:r>
      <w:r w:rsidR="0019391E">
        <w:rPr>
          <w:sz w:val="28"/>
          <w:szCs w:val="28"/>
        </w:rPr>
        <w:t xml:space="preserve"> (</w:t>
      </w:r>
      <w:r w:rsidR="002975E3">
        <w:rPr>
          <w:sz w:val="28"/>
          <w:szCs w:val="28"/>
        </w:rPr>
        <w:fldChar w:fldCharType="begin"/>
      </w:r>
      <w:r w:rsidR="0019391E">
        <w:rPr>
          <w:sz w:val="28"/>
          <w:szCs w:val="28"/>
        </w:rPr>
        <w:instrText xml:space="preserve"> REF _Ref346729822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19391E">
        <w:t xml:space="preserve">Таблица </w:t>
      </w:r>
      <w:r w:rsidR="0019391E">
        <w:rPr>
          <w:noProof/>
        </w:rPr>
        <w:t>3</w:t>
      </w:r>
      <w:r w:rsidR="002975E3">
        <w:rPr>
          <w:sz w:val="28"/>
          <w:szCs w:val="28"/>
        </w:rPr>
        <w:fldChar w:fldCharType="end"/>
      </w:r>
      <w:r w:rsidR="0019391E">
        <w:rPr>
          <w:sz w:val="28"/>
          <w:szCs w:val="28"/>
        </w:rPr>
        <w:t>)</w:t>
      </w:r>
      <w:r>
        <w:rPr>
          <w:sz w:val="28"/>
          <w:szCs w:val="28"/>
        </w:rPr>
        <w:t>. Процессы эти обусловлены серьезными проблем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экономического характера, и главной из них – когда повышени</w:t>
      </w:r>
      <w:r w:rsidR="00093FB4">
        <w:rPr>
          <w:sz w:val="28"/>
          <w:szCs w:val="28"/>
        </w:rPr>
        <w:t>е</w:t>
      </w:r>
      <w:r>
        <w:rPr>
          <w:sz w:val="28"/>
          <w:szCs w:val="28"/>
        </w:rPr>
        <w:t xml:space="preserve">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 работников стал</w:t>
      </w:r>
      <w:r w:rsidR="00093FB4">
        <w:rPr>
          <w:sz w:val="28"/>
          <w:szCs w:val="28"/>
        </w:rPr>
        <w:t>о</w:t>
      </w:r>
      <w:r>
        <w:rPr>
          <w:sz w:val="28"/>
          <w:szCs w:val="28"/>
        </w:rPr>
        <w:t xml:space="preserve"> невозможн</w:t>
      </w:r>
      <w:r w:rsidR="00093FB4">
        <w:rPr>
          <w:sz w:val="28"/>
          <w:szCs w:val="28"/>
        </w:rPr>
        <w:t>ым</w:t>
      </w:r>
      <w:r>
        <w:rPr>
          <w:sz w:val="28"/>
          <w:szCs w:val="28"/>
        </w:rPr>
        <w:t xml:space="preserve"> в связи с сверхвысокой долей фонда оплаты труда во внебюджетных средствах УдГУ. Поэтому, несмотря на болезненность проводимых мероприятий, они стали жизненно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мыми для сохранения основной миссии университета – образовательной и на</w:t>
      </w:r>
      <w:r w:rsidR="0019391E">
        <w:rPr>
          <w:sz w:val="28"/>
          <w:szCs w:val="28"/>
        </w:rPr>
        <w:t>у</w:t>
      </w:r>
      <w:r>
        <w:rPr>
          <w:sz w:val="28"/>
          <w:szCs w:val="28"/>
        </w:rPr>
        <w:t xml:space="preserve">чно-исследовательской. </w:t>
      </w:r>
    </w:p>
    <w:p w:rsidR="00BF077F" w:rsidRDefault="0019391E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выведено из штатного расписания в течение года 452 ставки, из них </w:t>
      </w:r>
      <w:r w:rsidR="00C873F6">
        <w:rPr>
          <w:sz w:val="28"/>
          <w:szCs w:val="28"/>
        </w:rPr>
        <w:t>за исключением ставок преподавателей</w:t>
      </w:r>
      <w:r>
        <w:rPr>
          <w:sz w:val="28"/>
          <w:szCs w:val="28"/>
        </w:rPr>
        <w:t xml:space="preserve"> – 251 ставка. Это примерно 13-14% от штатно</w:t>
      </w:r>
      <w:r w:rsidR="00093FB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93FB4">
        <w:rPr>
          <w:sz w:val="28"/>
          <w:szCs w:val="28"/>
        </w:rPr>
        <w:t>расписания</w:t>
      </w:r>
      <w:r>
        <w:rPr>
          <w:sz w:val="28"/>
          <w:szCs w:val="28"/>
        </w:rPr>
        <w:t>.</w:t>
      </w:r>
    </w:p>
    <w:p w:rsidR="0019391E" w:rsidRDefault="0019391E" w:rsidP="0019391E">
      <w:pPr>
        <w:pStyle w:val="a8"/>
        <w:keepNext/>
      </w:pPr>
      <w:bookmarkStart w:id="2" w:name="_Ref346729822"/>
      <w:r>
        <w:lastRenderedPageBreak/>
        <w:t xml:space="preserve">Таблица </w:t>
      </w:r>
      <w:fldSimple w:instr=" SEQ Таблица \* ARABIC ">
        <w:r w:rsidR="00622AF7">
          <w:rPr>
            <w:noProof/>
          </w:rPr>
          <w:t>3</w:t>
        </w:r>
      </w:fldSimple>
      <w:bookmarkEnd w:id="2"/>
      <w:r>
        <w:t xml:space="preserve">. </w:t>
      </w:r>
      <w:r w:rsidRPr="0007787B">
        <w:t>Сокращение штата в УдГУ в 2012 году, шт.единиц</w:t>
      </w:r>
    </w:p>
    <w:tbl>
      <w:tblPr>
        <w:tblW w:w="9412" w:type="dxa"/>
        <w:tblCellMar>
          <w:left w:w="0" w:type="dxa"/>
          <w:right w:w="0" w:type="dxa"/>
        </w:tblCellMar>
        <w:tblLook w:val="04A0"/>
      </w:tblPr>
      <w:tblGrid>
        <w:gridCol w:w="1641"/>
        <w:gridCol w:w="1675"/>
        <w:gridCol w:w="1516"/>
        <w:gridCol w:w="1593"/>
        <w:gridCol w:w="1612"/>
        <w:gridCol w:w="1375"/>
      </w:tblGrid>
      <w:tr w:rsidR="00BF077F" w:rsidRPr="00BF077F" w:rsidTr="0019391E">
        <w:trPr>
          <w:trHeight w:val="340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Ист. фин.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Категория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01.01.2012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31.12.2012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Изменение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5D5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Всего </w:t>
            </w:r>
          </w:p>
        </w:tc>
      </w:tr>
      <w:tr w:rsidR="00BF077F" w:rsidRPr="00BF077F" w:rsidTr="0019391E">
        <w:trPr>
          <w:trHeight w:val="340"/>
        </w:trPr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b/>
                <w:bCs/>
                <w:color w:val="000000"/>
                <w:kern w:val="24"/>
              </w:rPr>
              <w:t>Бюджет</w:t>
            </w:r>
            <w:r w:rsidRPr="00BF077F">
              <w:rPr>
                <w:color w:val="000000"/>
                <w:kern w:val="24"/>
              </w:rPr>
              <w:t xml:space="preserve"> (су</w:t>
            </w:r>
            <w:r w:rsidRPr="00BF077F">
              <w:rPr>
                <w:color w:val="000000"/>
                <w:kern w:val="24"/>
              </w:rPr>
              <w:t>б</w:t>
            </w:r>
            <w:r w:rsidRPr="00BF077F">
              <w:rPr>
                <w:color w:val="000000"/>
                <w:kern w:val="24"/>
              </w:rPr>
              <w:t>сидия на в</w:t>
            </w:r>
            <w:r w:rsidRPr="00BF077F">
              <w:rPr>
                <w:color w:val="000000"/>
                <w:kern w:val="24"/>
              </w:rPr>
              <w:t>ы</w:t>
            </w:r>
            <w:r w:rsidRPr="00BF077F">
              <w:rPr>
                <w:color w:val="000000"/>
                <w:kern w:val="24"/>
              </w:rPr>
              <w:t xml:space="preserve">полнение гос. задания)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ППС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727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720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-7 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-181 </w:t>
            </w:r>
          </w:p>
        </w:tc>
      </w:tr>
      <w:tr w:rsidR="00BF077F" w:rsidRPr="00BF077F" w:rsidTr="0019391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УВП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880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746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-133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</w:tr>
      <w:tr w:rsidR="00BF077F" w:rsidRPr="00BF077F" w:rsidTr="0019391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АУП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338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316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-22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</w:tr>
      <w:tr w:rsidR="00BF077F" w:rsidRPr="00BF077F" w:rsidTr="0019391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ПОП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419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398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-21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</w:tr>
      <w:tr w:rsidR="00BF077F" w:rsidRPr="00BF077F" w:rsidTr="0019391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НП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4,3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0,5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-3,8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</w:tr>
      <w:tr w:rsidR="00BF077F" w:rsidRPr="00BF077F" w:rsidTr="0019391E">
        <w:trPr>
          <w:trHeight w:val="340"/>
        </w:trPr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b/>
                <w:bCs/>
                <w:color w:val="000000"/>
                <w:kern w:val="24"/>
              </w:rPr>
              <w:t xml:space="preserve">Внебюджет </w:t>
            </w:r>
          </w:p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(ЦФО)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ППС ЦФО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345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312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-33 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-107 </w:t>
            </w:r>
          </w:p>
        </w:tc>
      </w:tr>
      <w:tr w:rsidR="00BF077F" w:rsidRPr="00BF077F" w:rsidTr="0019391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УВП, АУП, ПОП, НП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437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363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-74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</w:tr>
      <w:tr w:rsidR="00BF077F" w:rsidRPr="00BF077F" w:rsidTr="0019391E">
        <w:trPr>
          <w:trHeight w:val="340"/>
        </w:trPr>
        <w:tc>
          <w:tcPr>
            <w:tcW w:w="1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b/>
                <w:bCs/>
                <w:color w:val="000000"/>
                <w:kern w:val="24"/>
              </w:rPr>
              <w:t>Внебюджет</w:t>
            </w:r>
            <w:r w:rsidRPr="00BF077F">
              <w:rPr>
                <w:color w:val="000000"/>
                <w:kern w:val="24"/>
              </w:rPr>
              <w:t xml:space="preserve"> (собс. сред. подразделе-ний)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ППС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496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335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>-161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-164 </w:t>
            </w:r>
          </w:p>
        </w:tc>
      </w:tr>
      <w:tr w:rsidR="00BF077F" w:rsidRPr="00BF077F" w:rsidTr="0019391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color w:val="000000"/>
                <w:kern w:val="24"/>
              </w:rPr>
              <w:t xml:space="preserve">УВП, АУП, ПОП, НП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342 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339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000000"/>
                <w:kern w:val="24"/>
              </w:rPr>
              <w:t xml:space="preserve">-3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</w:tr>
      <w:tr w:rsidR="00BF077F" w:rsidRPr="00BF077F" w:rsidTr="0019391E">
        <w:trPr>
          <w:trHeight w:val="340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FF0000"/>
                <w:kern w:val="24"/>
              </w:rPr>
              <w:t xml:space="preserve">ИТОГО ВЫВЕДЕНО СТАВОК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19391E" w:rsidRDefault="0019391E" w:rsidP="0019391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kern w:val="24"/>
              </w:rPr>
              <w:t>–</w:t>
            </w:r>
            <w:r w:rsidR="00BF077F" w:rsidRPr="0019391E">
              <w:rPr>
                <w:rFonts w:ascii="Courier New" w:hAnsi="Courier New" w:cs="Courier New"/>
                <w:b/>
                <w:bCs/>
                <w:color w:val="FF0000"/>
                <w:kern w:val="24"/>
              </w:rPr>
              <w:t xml:space="preserve">452 </w:t>
            </w:r>
          </w:p>
        </w:tc>
      </w:tr>
      <w:tr w:rsidR="00BF077F" w:rsidRPr="00BF077F" w:rsidTr="0019391E">
        <w:trPr>
          <w:trHeight w:val="340"/>
        </w:trPr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rPr>
                <w:rFonts w:ascii="Arial" w:hAnsi="Arial" w:cs="Arial"/>
              </w:rPr>
            </w:pPr>
          </w:p>
        </w:tc>
        <w:tc>
          <w:tcPr>
            <w:tcW w:w="47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BF077F">
            <w:pPr>
              <w:pStyle w:val="ac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BF077F">
              <w:rPr>
                <w:rFonts w:ascii="Courier New" w:hAnsi="Courier New" w:cs="Courier New"/>
                <w:b/>
                <w:bCs/>
                <w:color w:val="FF0000"/>
                <w:kern w:val="24"/>
              </w:rPr>
              <w:t xml:space="preserve">в т.ч.ВЫВЕДЕНО СТАВОК БЕЗ ППС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F077F" w:rsidRPr="00BF077F" w:rsidRDefault="0019391E" w:rsidP="0019391E">
            <w:pPr>
              <w:jc w:val="center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kern w:val="24"/>
              </w:rPr>
              <w:t>–</w:t>
            </w:r>
            <w:r w:rsidR="00BF077F" w:rsidRPr="00BF077F">
              <w:rPr>
                <w:rFonts w:ascii="Courier New" w:hAnsi="Courier New" w:cs="Courier New"/>
                <w:b/>
                <w:bCs/>
                <w:color w:val="FF0000"/>
                <w:kern w:val="24"/>
              </w:rPr>
              <w:t xml:space="preserve">251 </w:t>
            </w:r>
          </w:p>
        </w:tc>
      </w:tr>
    </w:tbl>
    <w:p w:rsidR="001B10D8" w:rsidRDefault="001B10D8" w:rsidP="001B1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необходимо отметить, что проведение такой болезненной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цедуры, как оптимизация штатного расписания не должно проводиться 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системно. В целях прозрачности и экономической обоснованности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осуществлять сокращение только на основе социально и экономически обоснованного плана с рассчитанным прогнозируемым экономическими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фектом. Тогда это отчасти устранит неопределенность в управлении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напряженность в коллективе.</w:t>
      </w:r>
    </w:p>
    <w:p w:rsidR="00BF077F" w:rsidRDefault="00BF077F" w:rsidP="006A64E8">
      <w:pPr>
        <w:ind w:firstLine="540"/>
        <w:jc w:val="both"/>
        <w:rPr>
          <w:sz w:val="28"/>
          <w:szCs w:val="28"/>
        </w:rPr>
      </w:pPr>
    </w:p>
    <w:p w:rsidR="00C873F6" w:rsidRPr="00CA6F33" w:rsidRDefault="00C873F6" w:rsidP="00C873F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10</w:t>
      </w:r>
    </w:p>
    <w:p w:rsidR="00343AB4" w:rsidRPr="00C873F6" w:rsidRDefault="00117976" w:rsidP="00C873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Трудовые отношения (</w:t>
      </w:r>
      <w:r w:rsidR="002975E3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_Ref346730996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>
        <w:t xml:space="preserve">Таблица </w:t>
      </w:r>
      <w:r>
        <w:rPr>
          <w:noProof/>
        </w:rPr>
        <w:t>4</w:t>
      </w:r>
      <w:r w:rsidR="002975E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). </w:t>
      </w:r>
      <w:r w:rsidR="00C873F6" w:rsidRPr="00C873F6">
        <w:rPr>
          <w:sz w:val="28"/>
          <w:szCs w:val="28"/>
        </w:rPr>
        <w:t>Уволено 495 работников по собстве</w:t>
      </w:r>
      <w:r w:rsidR="00C873F6" w:rsidRPr="00C873F6">
        <w:rPr>
          <w:sz w:val="28"/>
          <w:szCs w:val="28"/>
        </w:rPr>
        <w:t>н</w:t>
      </w:r>
      <w:r w:rsidR="00C873F6" w:rsidRPr="00C873F6">
        <w:rPr>
          <w:sz w:val="28"/>
          <w:szCs w:val="28"/>
        </w:rPr>
        <w:t xml:space="preserve">ному желанию, 49 – по сокращению. При сравнении </w:t>
      </w:r>
      <w:r w:rsidR="00953262">
        <w:rPr>
          <w:sz w:val="28"/>
          <w:szCs w:val="28"/>
        </w:rPr>
        <w:t xml:space="preserve">с этим </w:t>
      </w:r>
      <w:r w:rsidR="00C873F6" w:rsidRPr="00C873F6">
        <w:rPr>
          <w:sz w:val="28"/>
          <w:szCs w:val="28"/>
        </w:rPr>
        <w:t>общего количес</w:t>
      </w:r>
      <w:r w:rsidR="00C873F6" w:rsidRPr="00C873F6">
        <w:rPr>
          <w:sz w:val="28"/>
          <w:szCs w:val="28"/>
        </w:rPr>
        <w:t>т</w:t>
      </w:r>
      <w:r w:rsidR="00C873F6" w:rsidRPr="00C873F6">
        <w:rPr>
          <w:sz w:val="28"/>
          <w:szCs w:val="28"/>
        </w:rPr>
        <w:t>ва сокращенных ставок, следует сделать вывод, что значительное число фа</w:t>
      </w:r>
      <w:r w:rsidR="00C873F6" w:rsidRPr="00C873F6">
        <w:rPr>
          <w:sz w:val="28"/>
          <w:szCs w:val="28"/>
        </w:rPr>
        <w:t>к</w:t>
      </w:r>
      <w:r w:rsidR="00C873F6" w:rsidRPr="00C873F6">
        <w:rPr>
          <w:sz w:val="28"/>
          <w:szCs w:val="28"/>
        </w:rPr>
        <w:t>тически сокращаемых работников были вынуждены написать заявление «по собственному». Мы считаем</w:t>
      </w:r>
      <w:r>
        <w:rPr>
          <w:sz w:val="28"/>
          <w:szCs w:val="28"/>
        </w:rPr>
        <w:t xml:space="preserve">, такое принуждение является </w:t>
      </w:r>
      <w:r w:rsidR="00C873F6" w:rsidRPr="00C873F6">
        <w:rPr>
          <w:sz w:val="28"/>
          <w:szCs w:val="28"/>
        </w:rPr>
        <w:t>неправомерной практикой, так как значительно снижается уровень гарантий работникам, предоставляемый трудовым законодательством при сокращении.</w:t>
      </w:r>
    </w:p>
    <w:p w:rsidR="00C873F6" w:rsidRDefault="00C873F6" w:rsidP="00343AB4">
      <w:pPr>
        <w:keepNext/>
        <w:jc w:val="both"/>
      </w:pPr>
    </w:p>
    <w:p w:rsidR="00117976" w:rsidRDefault="00117976" w:rsidP="00117976">
      <w:pPr>
        <w:pStyle w:val="a8"/>
        <w:keepNext/>
      </w:pPr>
      <w:bookmarkStart w:id="3" w:name="_Ref346730996"/>
      <w:r>
        <w:t xml:space="preserve">Таблица </w:t>
      </w:r>
      <w:fldSimple w:instr=" SEQ Таблица \* ARABIC ">
        <w:r w:rsidR="00622AF7">
          <w:rPr>
            <w:noProof/>
          </w:rPr>
          <w:t>4</w:t>
        </w:r>
      </w:fldSimple>
      <w:bookmarkEnd w:id="3"/>
      <w:r>
        <w:t xml:space="preserve">. </w:t>
      </w:r>
      <w:r w:rsidRPr="00EC6B4A">
        <w:t>Трудовые отношения в 2012 году</w:t>
      </w:r>
    </w:p>
    <w:tbl>
      <w:tblPr>
        <w:tblStyle w:val="a6"/>
        <w:tblW w:w="8330" w:type="dxa"/>
        <w:tblLook w:val="04A0"/>
      </w:tblPr>
      <w:tblGrid>
        <w:gridCol w:w="5181"/>
        <w:gridCol w:w="3149"/>
      </w:tblGrid>
      <w:tr w:rsidR="00C873F6" w:rsidRPr="00C873F6" w:rsidTr="00C873F6">
        <w:trPr>
          <w:trHeight w:val="20"/>
        </w:trPr>
        <w:tc>
          <w:tcPr>
            <w:tcW w:w="5181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 xml:space="preserve">Уволено по собственному желанию </w:t>
            </w:r>
          </w:p>
        </w:tc>
        <w:tc>
          <w:tcPr>
            <w:tcW w:w="3149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 xml:space="preserve">495 чел. </w:t>
            </w:r>
          </w:p>
        </w:tc>
      </w:tr>
      <w:tr w:rsidR="00C873F6" w:rsidRPr="00C873F6" w:rsidTr="00C873F6">
        <w:trPr>
          <w:trHeight w:val="20"/>
        </w:trPr>
        <w:tc>
          <w:tcPr>
            <w:tcW w:w="5181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 xml:space="preserve">Уволено по сокращению, </w:t>
            </w:r>
            <w:r w:rsidRPr="00C873F6">
              <w:rPr>
                <w:color w:val="000000"/>
                <w:kern w:val="24"/>
              </w:rPr>
              <w:br/>
              <w:t xml:space="preserve">в т.ч. с соблюдением процедуры сокр. членов профсоюза </w:t>
            </w:r>
          </w:p>
        </w:tc>
        <w:tc>
          <w:tcPr>
            <w:tcW w:w="3149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>49 чел.</w:t>
            </w:r>
            <w:r w:rsidRPr="00C873F6">
              <w:rPr>
                <w:color w:val="000000"/>
                <w:kern w:val="24"/>
              </w:rPr>
              <w:br/>
              <w:t xml:space="preserve">10 чел. </w:t>
            </w:r>
          </w:p>
        </w:tc>
      </w:tr>
      <w:tr w:rsidR="00C873F6" w:rsidRPr="00C873F6" w:rsidTr="00C873F6">
        <w:trPr>
          <w:trHeight w:val="20"/>
        </w:trPr>
        <w:tc>
          <w:tcPr>
            <w:tcW w:w="5181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>Длительный отпуск пед. работникам с сохран</w:t>
            </w:r>
            <w:r w:rsidRPr="00C873F6">
              <w:rPr>
                <w:color w:val="000000"/>
                <w:kern w:val="24"/>
              </w:rPr>
              <w:t>е</w:t>
            </w:r>
            <w:r w:rsidRPr="00C873F6">
              <w:rPr>
                <w:color w:val="000000"/>
                <w:kern w:val="24"/>
              </w:rPr>
              <w:t xml:space="preserve">нием части з/пл. (ст. 2.9 КД) </w:t>
            </w:r>
          </w:p>
        </w:tc>
        <w:tc>
          <w:tcPr>
            <w:tcW w:w="3149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 xml:space="preserve">7 чел. </w:t>
            </w:r>
          </w:p>
        </w:tc>
      </w:tr>
      <w:tr w:rsidR="00C873F6" w:rsidRPr="00C873F6" w:rsidTr="00C873F6">
        <w:trPr>
          <w:trHeight w:val="20"/>
        </w:trPr>
        <w:tc>
          <w:tcPr>
            <w:tcW w:w="5181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>Дополнительные отпуска с сохранением за</w:t>
            </w:r>
            <w:r w:rsidRPr="00C873F6">
              <w:rPr>
                <w:color w:val="000000"/>
                <w:kern w:val="24"/>
              </w:rPr>
              <w:t>р</w:t>
            </w:r>
            <w:r w:rsidRPr="00C873F6">
              <w:rPr>
                <w:color w:val="000000"/>
                <w:kern w:val="24"/>
              </w:rPr>
              <w:t xml:space="preserve">платы (ст. 2.8 КД) </w:t>
            </w:r>
          </w:p>
        </w:tc>
        <w:tc>
          <w:tcPr>
            <w:tcW w:w="3149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 xml:space="preserve">57 чел. </w:t>
            </w:r>
          </w:p>
        </w:tc>
      </w:tr>
      <w:tr w:rsidR="00C873F6" w:rsidRPr="00C873F6" w:rsidTr="00C873F6">
        <w:trPr>
          <w:trHeight w:val="20"/>
        </w:trPr>
        <w:tc>
          <w:tcPr>
            <w:tcW w:w="5181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>Дополнительные отпуска без сохранения за</w:t>
            </w:r>
            <w:r w:rsidRPr="00C873F6">
              <w:rPr>
                <w:color w:val="000000"/>
                <w:kern w:val="24"/>
              </w:rPr>
              <w:t>р</w:t>
            </w:r>
            <w:r w:rsidRPr="00C873F6">
              <w:rPr>
                <w:color w:val="000000"/>
                <w:kern w:val="24"/>
              </w:rPr>
              <w:t xml:space="preserve">платы (ст. 2.10 КД) </w:t>
            </w:r>
          </w:p>
        </w:tc>
        <w:tc>
          <w:tcPr>
            <w:tcW w:w="3149" w:type="dxa"/>
            <w:hideMark/>
          </w:tcPr>
          <w:p w:rsidR="00C873F6" w:rsidRPr="00C873F6" w:rsidRDefault="00C873F6">
            <w:pPr>
              <w:pStyle w:val="ac"/>
              <w:spacing w:before="0" w:beforeAutospacing="0" w:after="0" w:afterAutospacing="0"/>
              <w:jc w:val="center"/>
            </w:pPr>
            <w:r w:rsidRPr="00C873F6">
              <w:rPr>
                <w:color w:val="000000"/>
                <w:kern w:val="24"/>
              </w:rPr>
              <w:t xml:space="preserve">343 чел. </w:t>
            </w:r>
          </w:p>
        </w:tc>
      </w:tr>
    </w:tbl>
    <w:p w:rsidR="00E72890" w:rsidRDefault="00093FB4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2890" w:rsidRPr="00C27E83">
        <w:rPr>
          <w:sz w:val="28"/>
          <w:szCs w:val="28"/>
        </w:rPr>
        <w:t xml:space="preserve"> педагогических работник</w:t>
      </w:r>
      <w:r w:rsidR="001B10D8">
        <w:rPr>
          <w:sz w:val="28"/>
          <w:szCs w:val="28"/>
        </w:rPr>
        <w:t>ов</w:t>
      </w:r>
      <w:r w:rsidR="00E72890" w:rsidRPr="00C27E83">
        <w:rPr>
          <w:sz w:val="28"/>
          <w:szCs w:val="28"/>
        </w:rPr>
        <w:t xml:space="preserve"> получили длительный отпуск (до 1 года, ст. 2.9 КД</w:t>
      </w:r>
      <w:r>
        <w:rPr>
          <w:sz w:val="28"/>
          <w:szCs w:val="28"/>
        </w:rPr>
        <w:t>, в прошлом году – 2 чел.</w:t>
      </w:r>
      <w:r w:rsidR="00E72890" w:rsidRPr="00C27E83">
        <w:rPr>
          <w:sz w:val="28"/>
          <w:szCs w:val="28"/>
        </w:rPr>
        <w:t xml:space="preserve">), </w:t>
      </w:r>
      <w:r w:rsidR="00C27E83" w:rsidRPr="00C27E83">
        <w:rPr>
          <w:sz w:val="28"/>
          <w:szCs w:val="28"/>
        </w:rPr>
        <w:t>дополнительными отпусками с сохран</w:t>
      </w:r>
      <w:r w:rsidR="00C27E83" w:rsidRPr="00C27E83">
        <w:rPr>
          <w:sz w:val="28"/>
          <w:szCs w:val="28"/>
        </w:rPr>
        <w:t>е</w:t>
      </w:r>
      <w:r w:rsidR="00C27E83" w:rsidRPr="00C27E83">
        <w:rPr>
          <w:sz w:val="28"/>
          <w:szCs w:val="28"/>
        </w:rPr>
        <w:lastRenderedPageBreak/>
        <w:t xml:space="preserve">нием заработной платы (ст. 2.8) воспользовались </w:t>
      </w:r>
      <w:r>
        <w:rPr>
          <w:sz w:val="28"/>
          <w:szCs w:val="28"/>
        </w:rPr>
        <w:t>57</w:t>
      </w:r>
      <w:r w:rsidR="00C27E83" w:rsidRPr="00C27E83">
        <w:rPr>
          <w:sz w:val="28"/>
          <w:szCs w:val="28"/>
        </w:rPr>
        <w:t xml:space="preserve"> человек, </w:t>
      </w:r>
      <w:r w:rsidR="00E72890" w:rsidRPr="00C27E83">
        <w:rPr>
          <w:sz w:val="28"/>
          <w:szCs w:val="28"/>
        </w:rPr>
        <w:t>дополнител</w:t>
      </w:r>
      <w:r w:rsidR="00E72890" w:rsidRPr="00C27E83">
        <w:rPr>
          <w:sz w:val="28"/>
          <w:szCs w:val="28"/>
        </w:rPr>
        <w:t>ь</w:t>
      </w:r>
      <w:r w:rsidR="00E72890" w:rsidRPr="00C27E83">
        <w:rPr>
          <w:sz w:val="28"/>
          <w:szCs w:val="28"/>
        </w:rPr>
        <w:t xml:space="preserve">ным отпуском без сохранения зарплаты (ст. 2.10) воспользовались </w:t>
      </w:r>
      <w:r w:rsidR="00C27E83" w:rsidRPr="00C27E83">
        <w:rPr>
          <w:sz w:val="28"/>
          <w:szCs w:val="28"/>
        </w:rPr>
        <w:t>3</w:t>
      </w:r>
      <w:r>
        <w:rPr>
          <w:sz w:val="28"/>
          <w:szCs w:val="28"/>
        </w:rPr>
        <w:t>43</w:t>
      </w:r>
      <w:r w:rsidR="00E72890" w:rsidRPr="00C27E83">
        <w:rPr>
          <w:sz w:val="28"/>
          <w:szCs w:val="28"/>
        </w:rPr>
        <w:t xml:space="preserve"> чел</w:t>
      </w:r>
      <w:r w:rsidR="00E72890" w:rsidRPr="00C27E83">
        <w:rPr>
          <w:sz w:val="28"/>
          <w:szCs w:val="28"/>
        </w:rPr>
        <w:t>о</w:t>
      </w:r>
      <w:r w:rsidR="00E72890" w:rsidRPr="00C27E83">
        <w:rPr>
          <w:sz w:val="28"/>
          <w:szCs w:val="28"/>
        </w:rPr>
        <w:t>века.</w:t>
      </w:r>
    </w:p>
    <w:p w:rsidR="000B3F1B" w:rsidRPr="00C27E83" w:rsidRDefault="000B3F1B" w:rsidP="006A64E8">
      <w:pPr>
        <w:ind w:firstLine="540"/>
        <w:jc w:val="both"/>
        <w:rPr>
          <w:sz w:val="28"/>
          <w:szCs w:val="28"/>
        </w:rPr>
      </w:pPr>
    </w:p>
    <w:p w:rsidR="00093FB4" w:rsidRDefault="00093FB4" w:rsidP="00093FB4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11</w:t>
      </w:r>
    </w:p>
    <w:p w:rsidR="00D961B9" w:rsidRDefault="002D489F" w:rsidP="00D961B9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D961B9" w:rsidRPr="00A5363A">
        <w:rPr>
          <w:b/>
          <w:i/>
          <w:sz w:val="28"/>
          <w:szCs w:val="28"/>
        </w:rPr>
        <w:t>Оплата труда</w:t>
      </w:r>
    </w:p>
    <w:p w:rsidR="00E93268" w:rsidRDefault="00E93268" w:rsidP="00D961B9">
      <w:pPr>
        <w:ind w:firstLine="540"/>
        <w:jc w:val="both"/>
        <w:rPr>
          <w:b/>
          <w:i/>
          <w:sz w:val="28"/>
          <w:szCs w:val="28"/>
        </w:rPr>
      </w:pPr>
    </w:p>
    <w:p w:rsidR="00F7779F" w:rsidRPr="00CA6F33" w:rsidRDefault="00F7779F" w:rsidP="00F7779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093FB4">
        <w:rPr>
          <w:rFonts w:ascii="Arial" w:hAnsi="Arial" w:cs="Arial"/>
          <w:sz w:val="28"/>
          <w:szCs w:val="28"/>
          <w:bdr w:val="single" w:sz="4" w:space="0" w:color="auto"/>
        </w:rPr>
        <w:t>12</w:t>
      </w:r>
    </w:p>
    <w:p w:rsidR="00611D11" w:rsidRDefault="00611D11" w:rsidP="00F777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Данные по средней зарплате, рассчитываемые на одного работника (это используется в методиках государственных органов),по нашему мнению, не точно отражают реальное соотношение труда и его вознаграждения, когда вторичная занятость человека неявно увеличивает его фактические доходы. То есть работник может работать фактически за 1,5-2 и более человек, а за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плата относится к нему одному. Поэтому, в приводимых расчетах зарплата приведена к одной штатной единице (ставке) должности.</w:t>
      </w:r>
    </w:p>
    <w:p w:rsidR="00093FB4" w:rsidRDefault="0039012A" w:rsidP="00F7779F">
      <w:pPr>
        <w:ind w:firstLine="540"/>
        <w:jc w:val="both"/>
        <w:rPr>
          <w:sz w:val="28"/>
          <w:szCs w:val="28"/>
        </w:rPr>
      </w:pPr>
      <w:r w:rsidRPr="00FB4944">
        <w:rPr>
          <w:sz w:val="28"/>
          <w:szCs w:val="28"/>
        </w:rPr>
        <w:t xml:space="preserve">Среднемесячная </w:t>
      </w:r>
      <w:r w:rsidR="00BB7077" w:rsidRPr="00FB4944">
        <w:rPr>
          <w:sz w:val="28"/>
          <w:szCs w:val="28"/>
        </w:rPr>
        <w:t xml:space="preserve">начисленная </w:t>
      </w:r>
      <w:r w:rsidRPr="00FB4944">
        <w:rPr>
          <w:sz w:val="28"/>
          <w:szCs w:val="28"/>
        </w:rPr>
        <w:t>заработная плата</w:t>
      </w:r>
      <w:r w:rsidRPr="0039012A">
        <w:rPr>
          <w:sz w:val="28"/>
          <w:szCs w:val="28"/>
        </w:rPr>
        <w:t xml:space="preserve"> в УдГУ в 20</w:t>
      </w:r>
      <w:r>
        <w:rPr>
          <w:sz w:val="28"/>
          <w:szCs w:val="28"/>
        </w:rPr>
        <w:t>1</w:t>
      </w:r>
      <w:r w:rsidR="00093FB4">
        <w:rPr>
          <w:sz w:val="28"/>
          <w:szCs w:val="28"/>
        </w:rPr>
        <w:t>2</w:t>
      </w:r>
      <w:r w:rsidRPr="0039012A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ставила </w:t>
      </w:r>
      <w:r w:rsidR="000936A0">
        <w:rPr>
          <w:sz w:val="28"/>
          <w:szCs w:val="28"/>
        </w:rPr>
        <w:t>12 </w:t>
      </w:r>
      <w:r w:rsidR="00093FB4">
        <w:rPr>
          <w:sz w:val="28"/>
          <w:szCs w:val="28"/>
        </w:rPr>
        <w:t>200</w:t>
      </w:r>
      <w:r w:rsidRPr="0039012A">
        <w:rPr>
          <w:sz w:val="28"/>
          <w:szCs w:val="28"/>
        </w:rPr>
        <w:t xml:space="preserve"> руб.</w:t>
      </w:r>
      <w:r w:rsidR="00BB7077">
        <w:rPr>
          <w:sz w:val="28"/>
          <w:szCs w:val="28"/>
        </w:rPr>
        <w:t xml:space="preserve"> на 1 шт</w:t>
      </w:r>
      <w:r w:rsidR="00FB4944">
        <w:rPr>
          <w:sz w:val="28"/>
          <w:szCs w:val="28"/>
        </w:rPr>
        <w:t>атную</w:t>
      </w:r>
      <w:r w:rsidR="00BB7077">
        <w:rPr>
          <w:sz w:val="28"/>
          <w:szCs w:val="28"/>
        </w:rPr>
        <w:t xml:space="preserve"> единицу</w:t>
      </w:r>
      <w:r w:rsidR="00E04B5A">
        <w:rPr>
          <w:sz w:val="28"/>
          <w:szCs w:val="28"/>
        </w:rPr>
        <w:t>,</w:t>
      </w:r>
      <w:r w:rsidR="00BB7077">
        <w:rPr>
          <w:sz w:val="28"/>
          <w:szCs w:val="28"/>
        </w:rPr>
        <w:t xml:space="preserve"> вместе с выплатами по ГПХ – 1</w:t>
      </w:r>
      <w:r w:rsidR="000936A0">
        <w:rPr>
          <w:sz w:val="28"/>
          <w:szCs w:val="28"/>
        </w:rPr>
        <w:t>3</w:t>
      </w:r>
      <w:r w:rsidR="00BB7077">
        <w:rPr>
          <w:sz w:val="28"/>
          <w:szCs w:val="28"/>
        </w:rPr>
        <w:t> </w:t>
      </w:r>
      <w:r w:rsidR="00093FB4">
        <w:rPr>
          <w:sz w:val="28"/>
          <w:szCs w:val="28"/>
        </w:rPr>
        <w:t>485</w:t>
      </w:r>
      <w:r w:rsidR="00BB7077">
        <w:rPr>
          <w:sz w:val="28"/>
          <w:szCs w:val="28"/>
        </w:rPr>
        <w:t xml:space="preserve"> руб./шт.ед.</w:t>
      </w:r>
      <w:r w:rsidR="00E04B5A">
        <w:rPr>
          <w:sz w:val="28"/>
          <w:szCs w:val="28"/>
        </w:rPr>
        <w:t xml:space="preserve"> </w:t>
      </w:r>
      <w:r w:rsidR="00611D11">
        <w:rPr>
          <w:sz w:val="28"/>
          <w:szCs w:val="28"/>
        </w:rPr>
        <w:t>Соответствующие цифры на одного человека составляют 15 890 и 17 564 рублей.</w:t>
      </w:r>
    </w:p>
    <w:p w:rsidR="00611D11" w:rsidRPr="00611D11" w:rsidRDefault="00611D11" w:rsidP="00611D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зарплата преподавателей вместе с выплатами по ГПХ составила </w:t>
      </w:r>
      <w:r w:rsidRPr="00611D11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 </w:t>
      </w:r>
      <w:r w:rsidRPr="00611D11">
        <w:rPr>
          <w:bCs/>
          <w:sz w:val="28"/>
          <w:szCs w:val="28"/>
        </w:rPr>
        <w:t>740</w:t>
      </w:r>
      <w:r>
        <w:rPr>
          <w:bCs/>
          <w:sz w:val="28"/>
          <w:szCs w:val="28"/>
        </w:rPr>
        <w:t xml:space="preserve"> </w:t>
      </w:r>
      <w:r w:rsidRPr="00611D11">
        <w:rPr>
          <w:bCs/>
          <w:sz w:val="28"/>
          <w:szCs w:val="28"/>
        </w:rPr>
        <w:t>рублей на одну ставку</w:t>
      </w:r>
      <w:r>
        <w:rPr>
          <w:bCs/>
          <w:sz w:val="28"/>
          <w:szCs w:val="28"/>
        </w:rPr>
        <w:t xml:space="preserve"> (22 524 руб./чел).</w:t>
      </w:r>
    </w:p>
    <w:p w:rsidR="00611D11" w:rsidRPr="00CA6F33" w:rsidRDefault="00611D11" w:rsidP="00611D1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13</w:t>
      </w:r>
    </w:p>
    <w:p w:rsidR="00F7779F" w:rsidRPr="007D670B" w:rsidRDefault="00120A40" w:rsidP="00F777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произошел рост </w:t>
      </w:r>
      <w:r w:rsidR="00611D11">
        <w:rPr>
          <w:sz w:val="28"/>
          <w:szCs w:val="28"/>
        </w:rPr>
        <w:t xml:space="preserve">зарплаты </w:t>
      </w:r>
      <w:r>
        <w:rPr>
          <w:sz w:val="28"/>
          <w:szCs w:val="28"/>
        </w:rPr>
        <w:t xml:space="preserve">на </w:t>
      </w:r>
      <w:r w:rsidR="000936A0">
        <w:rPr>
          <w:sz w:val="28"/>
          <w:szCs w:val="28"/>
        </w:rPr>
        <w:t>9,</w:t>
      </w:r>
      <w:r w:rsidR="00611D11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611D11">
        <w:rPr>
          <w:sz w:val="28"/>
          <w:szCs w:val="28"/>
        </w:rPr>
        <w:t>, но в применении к одной ставке – фактически снижение на 3,2%</w:t>
      </w:r>
      <w:r>
        <w:rPr>
          <w:sz w:val="28"/>
          <w:szCs w:val="28"/>
        </w:rPr>
        <w:t xml:space="preserve">. </w:t>
      </w:r>
      <w:r w:rsidR="00F7779F">
        <w:rPr>
          <w:sz w:val="28"/>
          <w:szCs w:val="28"/>
        </w:rPr>
        <w:t>Для сравнения –</w:t>
      </w:r>
      <w:r w:rsidR="00F7779F" w:rsidRPr="00F66C98">
        <w:rPr>
          <w:sz w:val="28"/>
          <w:szCs w:val="28"/>
        </w:rPr>
        <w:t xml:space="preserve"> </w:t>
      </w:r>
      <w:r w:rsidR="00F7779F">
        <w:rPr>
          <w:sz w:val="28"/>
          <w:szCs w:val="28"/>
        </w:rPr>
        <w:t xml:space="preserve">среднемесячная заработная плата по Удмуртской Республике за 11 месяцев составила </w:t>
      </w:r>
      <w:r w:rsidR="00611D11">
        <w:rPr>
          <w:sz w:val="28"/>
          <w:szCs w:val="28"/>
        </w:rPr>
        <w:t>18</w:t>
      </w:r>
      <w:r w:rsidR="00F7779F">
        <w:rPr>
          <w:sz w:val="28"/>
          <w:szCs w:val="28"/>
        </w:rPr>
        <w:t> </w:t>
      </w:r>
      <w:r w:rsidR="00611D11">
        <w:rPr>
          <w:sz w:val="28"/>
          <w:szCs w:val="28"/>
        </w:rPr>
        <w:t>011</w:t>
      </w:r>
      <w:r w:rsidR="00F7779F">
        <w:rPr>
          <w:sz w:val="28"/>
          <w:szCs w:val="28"/>
        </w:rPr>
        <w:t xml:space="preserve"> рублей, рост составил </w:t>
      </w:r>
      <w:r w:rsidR="00611D11">
        <w:rPr>
          <w:sz w:val="28"/>
          <w:szCs w:val="28"/>
        </w:rPr>
        <w:t>16</w:t>
      </w:r>
      <w:r w:rsidR="00F7779F">
        <w:rPr>
          <w:sz w:val="28"/>
          <w:szCs w:val="28"/>
        </w:rPr>
        <w:t>,</w:t>
      </w:r>
      <w:r w:rsidR="00611D11">
        <w:rPr>
          <w:sz w:val="28"/>
          <w:szCs w:val="28"/>
        </w:rPr>
        <w:t>6</w:t>
      </w:r>
      <w:r w:rsidR="00F7779F">
        <w:rPr>
          <w:sz w:val="28"/>
          <w:szCs w:val="28"/>
        </w:rPr>
        <w:t>%.</w:t>
      </w:r>
      <w:r w:rsidR="00F7779F" w:rsidRPr="007D670B">
        <w:rPr>
          <w:sz w:val="28"/>
          <w:szCs w:val="28"/>
        </w:rPr>
        <w:t xml:space="preserve"> </w:t>
      </w:r>
      <w:r w:rsidR="00611D11">
        <w:rPr>
          <w:sz w:val="28"/>
          <w:szCs w:val="28"/>
        </w:rPr>
        <w:t>Таким образом, рост зарплаты работников в УдГУ значительно отстает от показателя по региону.</w:t>
      </w:r>
    </w:p>
    <w:p w:rsidR="00120A40" w:rsidRPr="00CA6F33" w:rsidRDefault="00120A40" w:rsidP="00120A40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611D11">
        <w:rPr>
          <w:rFonts w:ascii="Arial" w:hAnsi="Arial" w:cs="Arial"/>
          <w:sz w:val="28"/>
          <w:szCs w:val="28"/>
          <w:bdr w:val="single" w:sz="4" w:space="0" w:color="auto"/>
        </w:rPr>
        <w:t>14</w:t>
      </w:r>
    </w:p>
    <w:p w:rsidR="00AB7F5A" w:rsidRDefault="00AB7F5A" w:rsidP="003901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по </w:t>
      </w:r>
      <w:r w:rsidR="00611D11">
        <w:rPr>
          <w:sz w:val="28"/>
          <w:szCs w:val="28"/>
        </w:rPr>
        <w:t>динамике средней зарплаты за три года по категориям рабо</w:t>
      </w:r>
      <w:r w:rsidR="00611D11">
        <w:rPr>
          <w:sz w:val="28"/>
          <w:szCs w:val="28"/>
        </w:rPr>
        <w:t>т</w:t>
      </w:r>
      <w:r w:rsidR="00611D11">
        <w:rPr>
          <w:sz w:val="28"/>
          <w:szCs w:val="28"/>
        </w:rPr>
        <w:t xml:space="preserve">ников </w:t>
      </w:r>
      <w:r w:rsidR="00264084">
        <w:rPr>
          <w:sz w:val="28"/>
          <w:szCs w:val="28"/>
        </w:rPr>
        <w:t>представлены</w:t>
      </w:r>
      <w:r w:rsidR="00611D11">
        <w:rPr>
          <w:sz w:val="28"/>
          <w:szCs w:val="28"/>
        </w:rPr>
        <w:t xml:space="preserve"> на слайде. </w:t>
      </w:r>
      <w:r w:rsidR="00120A40">
        <w:rPr>
          <w:sz w:val="28"/>
          <w:szCs w:val="28"/>
        </w:rPr>
        <w:t>(</w:t>
      </w:r>
      <w:r w:rsidR="002975E3">
        <w:rPr>
          <w:sz w:val="28"/>
          <w:szCs w:val="28"/>
        </w:rPr>
        <w:fldChar w:fldCharType="begin"/>
      </w:r>
      <w:r w:rsidR="00264084">
        <w:rPr>
          <w:sz w:val="28"/>
          <w:szCs w:val="28"/>
        </w:rPr>
        <w:instrText xml:space="preserve"> REF _Ref346812127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3E24A4">
        <w:t xml:space="preserve">Таблица </w:t>
      </w:r>
      <w:r w:rsidR="003E24A4">
        <w:rPr>
          <w:noProof/>
        </w:rPr>
        <w:t>5</w:t>
      </w:r>
      <w:r w:rsidR="002975E3">
        <w:rPr>
          <w:sz w:val="28"/>
          <w:szCs w:val="28"/>
        </w:rPr>
        <w:fldChar w:fldCharType="end"/>
      </w:r>
      <w:r w:rsidR="00120A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64084" w:rsidRDefault="00264084" w:rsidP="00264084">
      <w:pPr>
        <w:pStyle w:val="a8"/>
        <w:keepNext/>
      </w:pPr>
      <w:bookmarkStart w:id="4" w:name="_Ref346812127"/>
      <w:r>
        <w:t xml:space="preserve">Таблица </w:t>
      </w:r>
      <w:fldSimple w:instr=" SEQ Таблица \* ARABIC ">
        <w:r w:rsidR="00622AF7">
          <w:rPr>
            <w:noProof/>
          </w:rPr>
          <w:t>5</w:t>
        </w:r>
      </w:fldSimple>
      <w:bookmarkEnd w:id="4"/>
      <w:r>
        <w:t xml:space="preserve">. </w:t>
      </w:r>
      <w:r w:rsidRPr="00ED25B5">
        <w:t>Динамика средней заработной платы с ГПХ в 2010-2012 гг., руб./шт.ед.</w:t>
      </w:r>
    </w:p>
    <w:tbl>
      <w:tblPr>
        <w:tblStyle w:val="a6"/>
        <w:tblW w:w="9384" w:type="dxa"/>
        <w:tblLook w:val="04A0"/>
      </w:tblPr>
      <w:tblGrid>
        <w:gridCol w:w="1951"/>
        <w:gridCol w:w="2330"/>
        <w:gridCol w:w="1701"/>
        <w:gridCol w:w="1701"/>
        <w:gridCol w:w="1701"/>
      </w:tblGrid>
      <w:tr w:rsidR="00264084" w:rsidRPr="00D64A3D" w:rsidTr="00264084">
        <w:tc>
          <w:tcPr>
            <w:tcW w:w="195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 xml:space="preserve">руб./шт.ед. </w:t>
            </w:r>
          </w:p>
        </w:tc>
        <w:tc>
          <w:tcPr>
            <w:tcW w:w="2330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2010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2011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2012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 xml:space="preserve">2012 к 2011 </w:t>
            </w:r>
          </w:p>
        </w:tc>
      </w:tr>
      <w:tr w:rsidR="00264084" w:rsidRPr="00D64A3D" w:rsidTr="00386C5D">
        <w:tc>
          <w:tcPr>
            <w:tcW w:w="195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ППС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18824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21 493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18 740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87,2%</w:t>
            </w:r>
          </w:p>
        </w:tc>
      </w:tr>
      <w:tr w:rsidR="00264084" w:rsidRPr="00D64A3D" w:rsidTr="00386C5D">
        <w:tc>
          <w:tcPr>
            <w:tcW w:w="195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АУП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18609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20 152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18 689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92,7%</w:t>
            </w:r>
          </w:p>
        </w:tc>
      </w:tr>
      <w:tr w:rsidR="00264084" w:rsidRPr="00D64A3D" w:rsidTr="00386C5D">
        <w:tc>
          <w:tcPr>
            <w:tcW w:w="195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УВП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7260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7 669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8 096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105,6%</w:t>
            </w:r>
          </w:p>
        </w:tc>
      </w:tr>
      <w:tr w:rsidR="00264084" w:rsidRPr="00D64A3D" w:rsidTr="00386C5D">
        <w:tc>
          <w:tcPr>
            <w:tcW w:w="195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ПОП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7109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7 206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7 289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101,2%</w:t>
            </w:r>
          </w:p>
        </w:tc>
      </w:tr>
      <w:tr w:rsidR="00264084" w:rsidRPr="00D64A3D" w:rsidTr="00386C5D">
        <w:tc>
          <w:tcPr>
            <w:tcW w:w="195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НП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16941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18 451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31 114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168,6%</w:t>
            </w:r>
          </w:p>
        </w:tc>
      </w:tr>
      <w:tr w:rsidR="00264084" w:rsidRPr="00D64A3D" w:rsidTr="00386C5D">
        <w:tc>
          <w:tcPr>
            <w:tcW w:w="195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Все категории</w:t>
            </w:r>
          </w:p>
        </w:tc>
        <w:tc>
          <w:tcPr>
            <w:tcW w:w="2330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12746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  <w:hideMark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13 936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13 485</w:t>
            </w:r>
          </w:p>
        </w:tc>
        <w:tc>
          <w:tcPr>
            <w:tcW w:w="1701" w:type="dxa"/>
            <w:vAlign w:val="center"/>
          </w:tcPr>
          <w:p w:rsidR="00264084" w:rsidRPr="00264084" w:rsidRDefault="00264084">
            <w:pPr>
              <w:pStyle w:val="ac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</w:rPr>
            </w:pPr>
            <w:r w:rsidRPr="00264084">
              <w:rPr>
                <w:rFonts w:ascii="Calibri" w:hAnsi="Calibri" w:cs="Calibri"/>
                <w:color w:val="000000"/>
                <w:kern w:val="24"/>
              </w:rPr>
              <w:t>96,8%</w:t>
            </w:r>
          </w:p>
        </w:tc>
      </w:tr>
    </w:tbl>
    <w:p w:rsidR="00FB4944" w:rsidRDefault="00264084" w:rsidP="00AB7F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Видно, что наибольшее снижение зарплаты в 2012 году по сравнению с 2011 годом наблюдается на одну ставку профессорско-преподавательского состава.</w:t>
      </w:r>
    </w:p>
    <w:p w:rsidR="0027768F" w:rsidRDefault="0027768F" w:rsidP="0027768F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264084">
        <w:rPr>
          <w:rFonts w:ascii="Arial" w:hAnsi="Arial" w:cs="Arial"/>
          <w:sz w:val="28"/>
          <w:szCs w:val="28"/>
          <w:bdr w:val="single" w:sz="4" w:space="0" w:color="auto"/>
        </w:rPr>
        <w:t>15</w:t>
      </w:r>
    </w:p>
    <w:p w:rsidR="00264084" w:rsidRDefault="00264084" w:rsidP="00AB7F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 же данные – на диаграмме.</w:t>
      </w:r>
    </w:p>
    <w:p w:rsidR="00264084" w:rsidRDefault="00264084" w:rsidP="00AB7F5A">
      <w:pPr>
        <w:ind w:firstLine="540"/>
        <w:jc w:val="both"/>
        <w:rPr>
          <w:sz w:val="28"/>
          <w:szCs w:val="28"/>
        </w:rPr>
      </w:pPr>
    </w:p>
    <w:p w:rsidR="00264084" w:rsidRDefault="00264084" w:rsidP="00264084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16</w:t>
      </w:r>
    </w:p>
    <w:p w:rsidR="00FF42C3" w:rsidRPr="00515FF9" w:rsidRDefault="00FF42C3" w:rsidP="00FF42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по зарплате профессорско-преподавательского состава привед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на слайде (</w:t>
      </w:r>
      <w:r w:rsidR="002975E3">
        <w:rPr>
          <w:sz w:val="28"/>
          <w:szCs w:val="28"/>
        </w:rPr>
        <w:fldChar w:fldCharType="begin"/>
      </w:r>
      <w:r w:rsidR="00F76370">
        <w:rPr>
          <w:sz w:val="28"/>
          <w:szCs w:val="28"/>
        </w:rPr>
        <w:instrText xml:space="preserve"> REF _Ref315187209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3E24A4" w:rsidRPr="009A622E">
        <w:t xml:space="preserve">Таблица </w:t>
      </w:r>
      <w:r w:rsidR="003E24A4">
        <w:rPr>
          <w:noProof/>
        </w:rPr>
        <w:t>6</w:t>
      </w:r>
      <w:r w:rsidR="002975E3">
        <w:rPr>
          <w:sz w:val="28"/>
          <w:szCs w:val="28"/>
        </w:rPr>
        <w:fldChar w:fldCharType="end"/>
      </w:r>
      <w:r>
        <w:rPr>
          <w:sz w:val="28"/>
          <w:szCs w:val="28"/>
        </w:rPr>
        <w:t>). По некоторым должностям произошло повышение. Разрыв между крайними зарплатами ассистента и декана/директора снизился по сравнению с 2011 годом с 11 до 7,5 раз.</w:t>
      </w:r>
    </w:p>
    <w:p w:rsidR="00515FF9" w:rsidRPr="00515FF9" w:rsidRDefault="00515FF9" w:rsidP="00FF42C3">
      <w:pPr>
        <w:ind w:firstLine="540"/>
        <w:jc w:val="both"/>
        <w:rPr>
          <w:i/>
          <w:sz w:val="28"/>
          <w:szCs w:val="28"/>
        </w:rPr>
      </w:pPr>
      <w:r w:rsidRPr="00515FF9">
        <w:rPr>
          <w:i/>
          <w:sz w:val="28"/>
          <w:szCs w:val="28"/>
        </w:rPr>
        <w:t>Также следует отметить, что одной из причин снижения в 2012 году средней заработной платы деканов является прекращение направления в в</w:t>
      </w:r>
      <w:r w:rsidRPr="00515FF9">
        <w:rPr>
          <w:i/>
          <w:sz w:val="28"/>
          <w:szCs w:val="28"/>
        </w:rPr>
        <w:t>у</w:t>
      </w:r>
      <w:r w:rsidRPr="00515FF9">
        <w:rPr>
          <w:i/>
          <w:sz w:val="28"/>
          <w:szCs w:val="28"/>
        </w:rPr>
        <w:t xml:space="preserve">зы Министерством образования и науки РФ </w:t>
      </w:r>
      <w:r>
        <w:rPr>
          <w:i/>
          <w:sz w:val="28"/>
          <w:szCs w:val="28"/>
        </w:rPr>
        <w:t>централизованных лимитов бюджетных обязательств для осуществления выплат стимулирующего характера (5%-ый фонд).</w:t>
      </w:r>
    </w:p>
    <w:p w:rsidR="00515FF9" w:rsidRPr="00515FF9" w:rsidRDefault="00515FF9" w:rsidP="00FF42C3">
      <w:pPr>
        <w:ind w:firstLine="540"/>
        <w:jc w:val="both"/>
        <w:rPr>
          <w:sz w:val="28"/>
          <w:szCs w:val="28"/>
        </w:rPr>
      </w:pPr>
    </w:p>
    <w:p w:rsidR="00FF42C3" w:rsidRPr="009A622E" w:rsidRDefault="00FF42C3" w:rsidP="00FF42C3">
      <w:pPr>
        <w:pStyle w:val="a8"/>
        <w:keepNext/>
      </w:pPr>
      <w:bookmarkStart w:id="5" w:name="_Ref315187209"/>
      <w:r w:rsidRPr="009A622E">
        <w:t xml:space="preserve">Таблица </w:t>
      </w:r>
      <w:fldSimple w:instr=" SEQ Таблица \* ARABIC ">
        <w:r w:rsidR="00622AF7">
          <w:rPr>
            <w:noProof/>
          </w:rPr>
          <w:t>6</w:t>
        </w:r>
      </w:fldSimple>
      <w:bookmarkEnd w:id="5"/>
      <w:r w:rsidRPr="009A622E">
        <w:t xml:space="preserve">. Среднемесячная зарплата должностей ППС </w:t>
      </w:r>
      <w:r w:rsidR="00F76370">
        <w:t xml:space="preserve">(без ГПХ) </w:t>
      </w:r>
      <w:r w:rsidRPr="009A622E">
        <w:t>в 2011</w:t>
      </w:r>
      <w:r w:rsidR="00F76370">
        <w:t>-</w:t>
      </w:r>
      <w:r>
        <w:t xml:space="preserve">2012 </w:t>
      </w:r>
      <w:r w:rsidRPr="009A622E">
        <w:t>г</w:t>
      </w:r>
      <w:r w:rsidR="00F76370">
        <w:t>г.</w:t>
      </w:r>
      <w:r w:rsidR="00C80E67">
        <w:t>, руб./чел.</w:t>
      </w:r>
    </w:p>
    <w:tbl>
      <w:tblPr>
        <w:tblStyle w:val="a6"/>
        <w:tblW w:w="9571" w:type="dxa"/>
        <w:tblLook w:val="04A0"/>
      </w:tblPr>
      <w:tblGrid>
        <w:gridCol w:w="2093"/>
        <w:gridCol w:w="2693"/>
        <w:gridCol w:w="2430"/>
        <w:gridCol w:w="2355"/>
      </w:tblGrid>
      <w:tr w:rsidR="00F76370" w:rsidRPr="00C80E67" w:rsidTr="00F76370">
        <w:trPr>
          <w:trHeight w:val="300"/>
        </w:trPr>
        <w:tc>
          <w:tcPr>
            <w:tcW w:w="2093" w:type="dxa"/>
            <w:shd w:val="clear" w:color="auto" w:fill="F2F2F2" w:themeFill="background1" w:themeFillShade="F2"/>
            <w:noWrap/>
            <w:vAlign w:val="bottom"/>
            <w:hideMark/>
          </w:tcPr>
          <w:p w:rsidR="00F76370" w:rsidRPr="00C80E67" w:rsidRDefault="00F7637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Должность ППС</w:t>
            </w:r>
          </w:p>
        </w:tc>
        <w:tc>
          <w:tcPr>
            <w:tcW w:w="2693" w:type="dxa"/>
            <w:shd w:val="clear" w:color="auto" w:fill="F2F2F2" w:themeFill="background1" w:themeFillShade="F2"/>
            <w:noWrap/>
            <w:vAlign w:val="bottom"/>
            <w:hideMark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355" w:type="dxa"/>
            <w:shd w:val="clear" w:color="auto" w:fill="F2F2F2" w:themeFill="background1" w:themeFillShade="F2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2012 к 2011</w:t>
            </w:r>
          </w:p>
        </w:tc>
      </w:tr>
      <w:tr w:rsidR="00F76370" w:rsidRPr="00C80E67" w:rsidTr="00386C5D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F76370" w:rsidRPr="00C80E67" w:rsidRDefault="00F76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Ассистент</w:t>
            </w:r>
          </w:p>
        </w:tc>
        <w:tc>
          <w:tcPr>
            <w:tcW w:w="2693" w:type="dxa"/>
            <w:noWrap/>
            <w:hideMark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7477</w:t>
            </w:r>
          </w:p>
        </w:tc>
        <w:tc>
          <w:tcPr>
            <w:tcW w:w="2430" w:type="dxa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7001</w:t>
            </w:r>
          </w:p>
        </w:tc>
        <w:tc>
          <w:tcPr>
            <w:tcW w:w="2355" w:type="dxa"/>
            <w:vAlign w:val="bottom"/>
          </w:tcPr>
          <w:p w:rsidR="00F76370" w:rsidRDefault="00F76370" w:rsidP="00F76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94%</w:t>
            </w:r>
          </w:p>
        </w:tc>
      </w:tr>
      <w:tr w:rsidR="00F76370" w:rsidRPr="00C80E67" w:rsidTr="00386C5D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F76370" w:rsidRPr="00C80E67" w:rsidRDefault="00F76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Ст. препод.</w:t>
            </w:r>
          </w:p>
        </w:tc>
        <w:tc>
          <w:tcPr>
            <w:tcW w:w="2693" w:type="dxa"/>
            <w:noWrap/>
            <w:hideMark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11035</w:t>
            </w:r>
          </w:p>
        </w:tc>
        <w:tc>
          <w:tcPr>
            <w:tcW w:w="2430" w:type="dxa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10949</w:t>
            </w:r>
          </w:p>
        </w:tc>
        <w:tc>
          <w:tcPr>
            <w:tcW w:w="2355" w:type="dxa"/>
            <w:vAlign w:val="bottom"/>
          </w:tcPr>
          <w:p w:rsidR="00F76370" w:rsidRDefault="00F76370" w:rsidP="00F76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99%</w:t>
            </w:r>
          </w:p>
        </w:tc>
      </w:tr>
      <w:tr w:rsidR="00F76370" w:rsidRPr="00C80E67" w:rsidTr="00386C5D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F76370" w:rsidRPr="00C80E67" w:rsidRDefault="00F76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2693" w:type="dxa"/>
            <w:noWrap/>
            <w:hideMark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15996</w:t>
            </w:r>
          </w:p>
        </w:tc>
        <w:tc>
          <w:tcPr>
            <w:tcW w:w="2430" w:type="dxa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17579</w:t>
            </w:r>
          </w:p>
        </w:tc>
        <w:tc>
          <w:tcPr>
            <w:tcW w:w="2355" w:type="dxa"/>
            <w:vAlign w:val="bottom"/>
          </w:tcPr>
          <w:p w:rsidR="00F76370" w:rsidRDefault="00F76370" w:rsidP="00F76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110%</w:t>
            </w:r>
          </w:p>
        </w:tc>
      </w:tr>
      <w:tr w:rsidR="00F76370" w:rsidRPr="00C80E67" w:rsidTr="00386C5D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F76370" w:rsidRPr="00C80E67" w:rsidRDefault="00F76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Профессор</w:t>
            </w:r>
          </w:p>
        </w:tc>
        <w:tc>
          <w:tcPr>
            <w:tcW w:w="2693" w:type="dxa"/>
            <w:noWrap/>
            <w:hideMark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24245</w:t>
            </w:r>
          </w:p>
        </w:tc>
        <w:tc>
          <w:tcPr>
            <w:tcW w:w="2430" w:type="dxa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26503</w:t>
            </w:r>
          </w:p>
        </w:tc>
        <w:tc>
          <w:tcPr>
            <w:tcW w:w="2355" w:type="dxa"/>
            <w:vAlign w:val="bottom"/>
          </w:tcPr>
          <w:p w:rsidR="00F76370" w:rsidRDefault="00F76370" w:rsidP="00F76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109%</w:t>
            </w:r>
          </w:p>
        </w:tc>
      </w:tr>
      <w:tr w:rsidR="00F76370" w:rsidRPr="00C80E67" w:rsidTr="00386C5D">
        <w:trPr>
          <w:trHeight w:val="300"/>
        </w:trPr>
        <w:tc>
          <w:tcPr>
            <w:tcW w:w="2093" w:type="dxa"/>
            <w:noWrap/>
            <w:vAlign w:val="bottom"/>
            <w:hideMark/>
          </w:tcPr>
          <w:p w:rsidR="00F76370" w:rsidRPr="00C80E67" w:rsidRDefault="00F76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Зав.каф.</w:t>
            </w:r>
          </w:p>
        </w:tc>
        <w:tc>
          <w:tcPr>
            <w:tcW w:w="2693" w:type="dxa"/>
            <w:noWrap/>
            <w:hideMark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30096</w:t>
            </w:r>
          </w:p>
        </w:tc>
        <w:tc>
          <w:tcPr>
            <w:tcW w:w="2430" w:type="dxa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30592</w:t>
            </w:r>
          </w:p>
        </w:tc>
        <w:tc>
          <w:tcPr>
            <w:tcW w:w="2355" w:type="dxa"/>
            <w:vAlign w:val="bottom"/>
          </w:tcPr>
          <w:p w:rsidR="00F76370" w:rsidRDefault="00F76370" w:rsidP="00F76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102%</w:t>
            </w:r>
          </w:p>
        </w:tc>
      </w:tr>
      <w:tr w:rsidR="00F76370" w:rsidRPr="00C80E67" w:rsidTr="00386C5D">
        <w:trPr>
          <w:trHeight w:val="300"/>
        </w:trPr>
        <w:tc>
          <w:tcPr>
            <w:tcW w:w="2093" w:type="dxa"/>
            <w:noWrap/>
            <w:vAlign w:val="bottom"/>
          </w:tcPr>
          <w:p w:rsidR="00F76370" w:rsidRPr="00C80E67" w:rsidRDefault="00F7637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Декан</w:t>
            </w:r>
          </w:p>
        </w:tc>
        <w:tc>
          <w:tcPr>
            <w:tcW w:w="2693" w:type="dxa"/>
            <w:noWrap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84413</w:t>
            </w:r>
          </w:p>
        </w:tc>
        <w:tc>
          <w:tcPr>
            <w:tcW w:w="2430" w:type="dxa"/>
            <w:vAlign w:val="bottom"/>
          </w:tcPr>
          <w:p w:rsidR="00F76370" w:rsidRPr="00C80E67" w:rsidRDefault="00F76370" w:rsidP="00C80E6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0E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51696</w:t>
            </w:r>
          </w:p>
        </w:tc>
        <w:tc>
          <w:tcPr>
            <w:tcW w:w="2355" w:type="dxa"/>
            <w:vAlign w:val="bottom"/>
          </w:tcPr>
          <w:p w:rsidR="00F76370" w:rsidRDefault="00F76370" w:rsidP="00F7637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61%</w:t>
            </w:r>
          </w:p>
        </w:tc>
      </w:tr>
    </w:tbl>
    <w:p w:rsidR="00F76370" w:rsidRDefault="00F76370" w:rsidP="00F76370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:rsidR="00F76370" w:rsidRDefault="00F76370" w:rsidP="00F76370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17</w:t>
      </w:r>
    </w:p>
    <w:p w:rsidR="00F76370" w:rsidRDefault="00F76370" w:rsidP="00F763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средних размеров зарплат на одну ставку ППС по 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культетам и институтам представлено в таблице (</w:t>
      </w:r>
      <w:r w:rsidR="002975E3">
        <w:rPr>
          <w:sz w:val="28"/>
          <w:szCs w:val="28"/>
        </w:rPr>
        <w:fldChar w:fldCharType="begin"/>
      </w:r>
      <w:r w:rsidR="003E24A4">
        <w:rPr>
          <w:sz w:val="28"/>
          <w:szCs w:val="28"/>
        </w:rPr>
        <w:instrText xml:space="preserve"> REF _Ref315203238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3E24A4" w:rsidRPr="00B25572">
        <w:t xml:space="preserve">Таблица </w:t>
      </w:r>
      <w:r w:rsidR="003E24A4">
        <w:rPr>
          <w:noProof/>
        </w:rPr>
        <w:t>7</w:t>
      </w:r>
      <w:r w:rsidR="002975E3"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  <w:r w:rsidR="003E24A4">
        <w:rPr>
          <w:sz w:val="28"/>
          <w:szCs w:val="28"/>
        </w:rPr>
        <w:t xml:space="preserve"> В данном случае к одной основной ставке преподавателя приведены все его доходы, в том числе совместительство, совмещение, гранты, ГПХ, стимулирующие и др.</w:t>
      </w:r>
    </w:p>
    <w:p w:rsidR="00264084" w:rsidRDefault="00264084" w:rsidP="00AB7F5A">
      <w:pPr>
        <w:ind w:firstLine="540"/>
        <w:jc w:val="both"/>
        <w:rPr>
          <w:sz w:val="28"/>
          <w:szCs w:val="28"/>
        </w:rPr>
      </w:pPr>
    </w:p>
    <w:p w:rsidR="00546CA0" w:rsidRPr="00B25572" w:rsidRDefault="00546CA0" w:rsidP="00546CA0">
      <w:pPr>
        <w:pStyle w:val="a8"/>
        <w:keepNext/>
      </w:pPr>
      <w:bookmarkStart w:id="6" w:name="_Ref315203238"/>
      <w:r w:rsidRPr="00B25572">
        <w:t xml:space="preserve">Таблица </w:t>
      </w:r>
      <w:r w:rsidR="002975E3" w:rsidRPr="00B25572">
        <w:fldChar w:fldCharType="begin"/>
      </w:r>
      <w:r w:rsidR="005A108B" w:rsidRPr="00B25572">
        <w:instrText xml:space="preserve"> SEQ Таблица \* ARABIC </w:instrText>
      </w:r>
      <w:r w:rsidR="002975E3" w:rsidRPr="00B25572">
        <w:fldChar w:fldCharType="separate"/>
      </w:r>
      <w:r w:rsidR="00622AF7">
        <w:rPr>
          <w:noProof/>
        </w:rPr>
        <w:t>7</w:t>
      </w:r>
      <w:r w:rsidR="002975E3" w:rsidRPr="00B25572">
        <w:fldChar w:fldCharType="end"/>
      </w:r>
      <w:bookmarkEnd w:id="6"/>
      <w:r w:rsidRPr="00B25572">
        <w:t>. Среднемесячная зарплата ППС по учебным подразделениям в 201</w:t>
      </w:r>
      <w:r w:rsidR="003E24A4">
        <w:t>2</w:t>
      </w:r>
      <w:r w:rsidRPr="00B25572">
        <w:t xml:space="preserve"> году</w:t>
      </w:r>
      <w:r w:rsidR="00B25572">
        <w:t>, руб./чел.</w:t>
      </w:r>
    </w:p>
    <w:tbl>
      <w:tblPr>
        <w:tblW w:w="5888" w:type="dxa"/>
        <w:tblInd w:w="98" w:type="dxa"/>
        <w:tblLook w:val="04A0"/>
      </w:tblPr>
      <w:tblGrid>
        <w:gridCol w:w="1329"/>
        <w:gridCol w:w="1375"/>
        <w:gridCol w:w="567"/>
        <w:gridCol w:w="1329"/>
        <w:gridCol w:w="1288"/>
      </w:tblGrid>
      <w:tr w:rsidR="00546CA0" w:rsidRPr="00546CA0" w:rsidTr="00546CA0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A0" w:rsidRPr="00546CA0" w:rsidRDefault="00546CA0" w:rsidP="00546CA0">
            <w:pPr>
              <w:rPr>
                <w:color w:val="000000"/>
              </w:rPr>
            </w:pPr>
            <w:r w:rsidRPr="00546CA0">
              <w:rPr>
                <w:color w:val="000000"/>
              </w:rPr>
              <w:t>Фак./Инст.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CA0" w:rsidRPr="00546CA0" w:rsidRDefault="00546CA0" w:rsidP="00546CA0">
            <w:pPr>
              <w:jc w:val="right"/>
              <w:rPr>
                <w:bCs/>
              </w:rPr>
            </w:pPr>
            <w:r w:rsidRPr="00546CA0">
              <w:rPr>
                <w:bCs/>
              </w:rPr>
              <w:t>Ср.з/пл.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546CA0" w:rsidRPr="00546CA0" w:rsidRDefault="00546CA0" w:rsidP="00546CA0">
            <w:pPr>
              <w:jc w:val="right"/>
              <w:rPr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A0" w:rsidRPr="00546CA0" w:rsidRDefault="00546CA0" w:rsidP="0075705C">
            <w:pPr>
              <w:rPr>
                <w:color w:val="000000"/>
              </w:rPr>
            </w:pPr>
            <w:r w:rsidRPr="00546CA0">
              <w:rPr>
                <w:color w:val="000000"/>
              </w:rPr>
              <w:t>Фак./Инст.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CA0" w:rsidRPr="00546CA0" w:rsidRDefault="00546CA0" w:rsidP="0075705C">
            <w:pPr>
              <w:jc w:val="right"/>
              <w:rPr>
                <w:bCs/>
              </w:rPr>
            </w:pPr>
            <w:r w:rsidRPr="00546CA0">
              <w:rPr>
                <w:bCs/>
              </w:rPr>
              <w:t>Ср.з/пл.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ФПИЯ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16748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МФ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24072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ИИиД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17653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ФФКиС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24902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19917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ИППСТ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24954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ФЖ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26025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ФИТиВТ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27248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ИИЯЛ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21755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ФЭФ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28720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22908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ИПСУБ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31447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23033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ИГЗ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33569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ФСФ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23150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43002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БХФ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23734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ФМБТ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44303</w:t>
            </w:r>
          </w:p>
        </w:tc>
      </w:tr>
      <w:tr w:rsidR="00F76370" w:rsidRPr="00546CA0" w:rsidTr="00546CA0">
        <w:trPr>
          <w:trHeight w:val="300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:rsidR="00F76370" w:rsidRPr="00546CA0" w:rsidRDefault="00F76370" w:rsidP="00546CA0">
            <w:pPr>
              <w:jc w:val="right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ИЭиУ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370" w:rsidRDefault="00F7637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45137</w:t>
            </w:r>
          </w:p>
        </w:tc>
      </w:tr>
    </w:tbl>
    <w:p w:rsidR="00546CA0" w:rsidRDefault="00546CA0" w:rsidP="006A64E8">
      <w:pPr>
        <w:ind w:firstLine="540"/>
        <w:jc w:val="both"/>
        <w:rPr>
          <w:sz w:val="28"/>
          <w:szCs w:val="28"/>
        </w:rPr>
      </w:pPr>
    </w:p>
    <w:p w:rsidR="00547176" w:rsidRPr="00312AF6" w:rsidRDefault="00547176" w:rsidP="00547176">
      <w:pPr>
        <w:ind w:firstLine="540"/>
        <w:jc w:val="both"/>
        <w:rPr>
          <w:rFonts w:ascii="Arial" w:hAnsi="Arial" w:cs="Arial"/>
          <w:sz w:val="28"/>
          <w:szCs w:val="28"/>
          <w:lang w:val="en-US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</w:t>
      </w:r>
      <w:r w:rsidR="003E24A4">
        <w:rPr>
          <w:rFonts w:ascii="Arial" w:hAnsi="Arial" w:cs="Arial"/>
          <w:sz w:val="28"/>
          <w:szCs w:val="28"/>
          <w:bdr w:val="single" w:sz="4" w:space="0" w:color="auto"/>
        </w:rPr>
        <w:t>8</w:t>
      </w:r>
    </w:p>
    <w:p w:rsidR="002F438E" w:rsidRDefault="003E24A4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70441">
        <w:rPr>
          <w:sz w:val="28"/>
          <w:szCs w:val="28"/>
        </w:rPr>
        <w:t>еравномерно распределе</w:t>
      </w:r>
      <w:r w:rsidR="009967C3">
        <w:rPr>
          <w:sz w:val="28"/>
          <w:szCs w:val="28"/>
        </w:rPr>
        <w:t>ны</w:t>
      </w:r>
      <w:r w:rsidR="00470441">
        <w:rPr>
          <w:sz w:val="28"/>
          <w:szCs w:val="28"/>
        </w:rPr>
        <w:t xml:space="preserve"> составляющи</w:t>
      </w:r>
      <w:r w:rsidR="009967C3">
        <w:rPr>
          <w:sz w:val="28"/>
          <w:szCs w:val="28"/>
        </w:rPr>
        <w:t>е</w:t>
      </w:r>
      <w:r w:rsidR="00470441">
        <w:rPr>
          <w:sz w:val="28"/>
          <w:szCs w:val="28"/>
        </w:rPr>
        <w:t xml:space="preserve"> част</w:t>
      </w:r>
      <w:r w:rsidR="009967C3">
        <w:rPr>
          <w:sz w:val="28"/>
          <w:szCs w:val="28"/>
        </w:rPr>
        <w:t>и</w:t>
      </w:r>
      <w:r w:rsidR="00470441">
        <w:rPr>
          <w:sz w:val="28"/>
          <w:szCs w:val="28"/>
        </w:rPr>
        <w:t xml:space="preserve"> зарплаты</w:t>
      </w:r>
      <w:r w:rsidR="002F438E">
        <w:rPr>
          <w:sz w:val="28"/>
          <w:szCs w:val="28"/>
        </w:rPr>
        <w:t>.</w:t>
      </w:r>
    </w:p>
    <w:p w:rsidR="00F973EB" w:rsidRDefault="00F973EB" w:rsidP="006A64E8">
      <w:pPr>
        <w:ind w:firstLine="540"/>
        <w:jc w:val="both"/>
        <w:rPr>
          <w:sz w:val="28"/>
          <w:szCs w:val="28"/>
        </w:rPr>
      </w:pPr>
    </w:p>
    <w:p w:rsidR="002F438E" w:rsidRPr="00BD6E7F" w:rsidRDefault="002F438E" w:rsidP="002F438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1</w:t>
      </w:r>
      <w:r w:rsidR="003E24A4">
        <w:rPr>
          <w:rFonts w:ascii="Arial" w:hAnsi="Arial" w:cs="Arial"/>
          <w:sz w:val="28"/>
          <w:szCs w:val="28"/>
          <w:bdr w:val="single" w:sz="4" w:space="0" w:color="auto"/>
        </w:rPr>
        <w:t>9</w:t>
      </w:r>
    </w:p>
    <w:p w:rsidR="00470441" w:rsidRDefault="002F438E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15F35">
        <w:rPr>
          <w:sz w:val="28"/>
          <w:szCs w:val="28"/>
        </w:rPr>
        <w:t>тимулирующая часть занимает значительную долю в зарплате научных работников</w:t>
      </w:r>
      <w:r w:rsidR="003E24A4">
        <w:rPr>
          <w:sz w:val="28"/>
          <w:szCs w:val="28"/>
        </w:rPr>
        <w:t xml:space="preserve">, в 4 раза превышая оклад. У </w:t>
      </w:r>
      <w:r w:rsidR="00915F35">
        <w:rPr>
          <w:sz w:val="28"/>
          <w:szCs w:val="28"/>
        </w:rPr>
        <w:t xml:space="preserve">административного персонала </w:t>
      </w:r>
      <w:r w:rsidR="003E24A4">
        <w:rPr>
          <w:sz w:val="28"/>
          <w:szCs w:val="28"/>
        </w:rPr>
        <w:t xml:space="preserve">– 159% </w:t>
      </w:r>
      <w:r w:rsidR="00915F35">
        <w:rPr>
          <w:sz w:val="28"/>
          <w:szCs w:val="28"/>
        </w:rPr>
        <w:t>(</w:t>
      </w:r>
      <w:r w:rsidR="003E24A4">
        <w:rPr>
          <w:sz w:val="28"/>
          <w:szCs w:val="28"/>
        </w:rPr>
        <w:t xml:space="preserve">было </w:t>
      </w:r>
      <w:r w:rsidR="00915F35">
        <w:rPr>
          <w:sz w:val="28"/>
          <w:szCs w:val="28"/>
        </w:rPr>
        <w:t xml:space="preserve">207%), у ППС </w:t>
      </w:r>
      <w:r w:rsidR="003E24A4">
        <w:rPr>
          <w:sz w:val="28"/>
          <w:szCs w:val="28"/>
        </w:rPr>
        <w:t xml:space="preserve">114% </w:t>
      </w:r>
      <w:r w:rsidR="00915F35">
        <w:rPr>
          <w:sz w:val="28"/>
          <w:szCs w:val="28"/>
        </w:rPr>
        <w:t>(</w:t>
      </w:r>
      <w:r w:rsidR="003E24A4">
        <w:rPr>
          <w:sz w:val="28"/>
          <w:szCs w:val="28"/>
        </w:rPr>
        <w:t xml:space="preserve">было </w:t>
      </w:r>
      <w:r w:rsidR="00915F35">
        <w:rPr>
          <w:sz w:val="28"/>
          <w:szCs w:val="28"/>
        </w:rPr>
        <w:t>132%), у других категорий еще мен</w:t>
      </w:r>
      <w:r w:rsidR="00915F35">
        <w:rPr>
          <w:sz w:val="28"/>
          <w:szCs w:val="28"/>
        </w:rPr>
        <w:t>ь</w:t>
      </w:r>
      <w:r w:rsidR="00915F35">
        <w:rPr>
          <w:sz w:val="28"/>
          <w:szCs w:val="28"/>
        </w:rPr>
        <w:t>ше.</w:t>
      </w:r>
      <w:r w:rsidR="003E24A4">
        <w:rPr>
          <w:sz w:val="28"/>
          <w:szCs w:val="28"/>
        </w:rPr>
        <w:t xml:space="preserve"> В целом размер стимулирующих выплат относительно оклада снизился со 114% до 103%.</w:t>
      </w:r>
    </w:p>
    <w:p w:rsidR="00F973EB" w:rsidRDefault="00F973EB" w:rsidP="006A64E8">
      <w:pPr>
        <w:ind w:firstLine="540"/>
        <w:jc w:val="both"/>
        <w:rPr>
          <w:sz w:val="28"/>
          <w:szCs w:val="28"/>
        </w:rPr>
      </w:pPr>
    </w:p>
    <w:p w:rsidR="00F973EB" w:rsidRPr="00BD6E7F" w:rsidRDefault="00F973EB" w:rsidP="00F973E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20</w:t>
      </w:r>
    </w:p>
    <w:p w:rsidR="003E24A4" w:rsidRDefault="00F973EB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об оплате труда стимулирующие выплаты могут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чаться на основании 4 статей, более 60 пунктов. При анализе назначения по статье 6.8.2 (</w:t>
      </w:r>
      <w:r w:rsidRPr="00F973EB">
        <w:rPr>
          <w:sz w:val="28"/>
          <w:szCs w:val="28"/>
        </w:rPr>
        <w:t>За интенсивность труда и высокие результаты работы</w:t>
      </w:r>
      <w:r>
        <w:rPr>
          <w:sz w:val="28"/>
          <w:szCs w:val="28"/>
        </w:rPr>
        <w:t>) можно сделать вывод, что более 70% выплат по этой статье относится к оплате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ричной занятости, когда работник выполняет работу дополнительно к его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новным обязанностям.</w:t>
      </w:r>
    </w:p>
    <w:p w:rsidR="00F973EB" w:rsidRDefault="00F973EB" w:rsidP="006A64E8">
      <w:pPr>
        <w:ind w:firstLine="540"/>
        <w:jc w:val="both"/>
        <w:rPr>
          <w:sz w:val="28"/>
          <w:szCs w:val="28"/>
        </w:rPr>
      </w:pPr>
    </w:p>
    <w:p w:rsidR="00F973EB" w:rsidRPr="00BD6E7F" w:rsidRDefault="00F973EB" w:rsidP="00F973EB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21</w:t>
      </w:r>
    </w:p>
    <w:p w:rsidR="00915F35" w:rsidRDefault="000D0F37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F973EB">
        <w:rPr>
          <w:sz w:val="28"/>
          <w:szCs w:val="28"/>
        </w:rPr>
        <w:t xml:space="preserve">в текущем году </w:t>
      </w:r>
      <w:r>
        <w:rPr>
          <w:sz w:val="28"/>
          <w:szCs w:val="28"/>
        </w:rPr>
        <w:t>задержек выдачи заработной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и отпускных в этом году не было. </w:t>
      </w:r>
      <w:r w:rsidR="00F973EB">
        <w:rPr>
          <w:sz w:val="28"/>
          <w:szCs w:val="28"/>
        </w:rPr>
        <w:t>Бы</w:t>
      </w:r>
      <w:r w:rsidR="00394918">
        <w:rPr>
          <w:sz w:val="28"/>
          <w:szCs w:val="28"/>
        </w:rPr>
        <w:t>ли</w:t>
      </w:r>
      <w:r w:rsidR="00F973EB">
        <w:rPr>
          <w:sz w:val="28"/>
          <w:szCs w:val="28"/>
        </w:rPr>
        <w:t xml:space="preserve"> задержки выплат </w:t>
      </w:r>
      <w:r>
        <w:rPr>
          <w:sz w:val="28"/>
          <w:szCs w:val="28"/>
        </w:rPr>
        <w:t>по договорам ГПХ.</w:t>
      </w:r>
      <w:r w:rsidR="00EC6666">
        <w:rPr>
          <w:sz w:val="28"/>
          <w:szCs w:val="28"/>
        </w:rPr>
        <w:t xml:space="preserve"> Кроме этого, в УдГУ </w:t>
      </w:r>
      <w:r w:rsidR="00F973EB">
        <w:rPr>
          <w:sz w:val="28"/>
          <w:szCs w:val="28"/>
        </w:rPr>
        <w:t xml:space="preserve">по прежнему </w:t>
      </w:r>
      <w:r w:rsidR="00EC6666">
        <w:rPr>
          <w:sz w:val="28"/>
          <w:szCs w:val="28"/>
        </w:rPr>
        <w:t>не производится оплата труда мат</w:t>
      </w:r>
      <w:r w:rsidR="00EC6666">
        <w:rPr>
          <w:sz w:val="28"/>
          <w:szCs w:val="28"/>
        </w:rPr>
        <w:t>е</w:t>
      </w:r>
      <w:r w:rsidR="00EC6666">
        <w:rPr>
          <w:sz w:val="28"/>
          <w:szCs w:val="28"/>
        </w:rPr>
        <w:t>риально-ответственных лиц. Требуется навести порядок.</w:t>
      </w:r>
    </w:p>
    <w:p w:rsidR="00BC53D9" w:rsidRPr="00712560" w:rsidRDefault="00BC53D9" w:rsidP="006A64E8">
      <w:pPr>
        <w:ind w:firstLine="540"/>
        <w:jc w:val="both"/>
        <w:rPr>
          <w:color w:val="808080"/>
          <w:sz w:val="28"/>
          <w:szCs w:val="28"/>
        </w:rPr>
      </w:pPr>
    </w:p>
    <w:p w:rsidR="002F438E" w:rsidRPr="00EC6666" w:rsidRDefault="002F438E" w:rsidP="002F438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F973EB">
        <w:rPr>
          <w:rFonts w:ascii="Arial" w:hAnsi="Arial" w:cs="Arial"/>
          <w:sz w:val="28"/>
          <w:szCs w:val="28"/>
          <w:bdr w:val="single" w:sz="4" w:space="0" w:color="auto"/>
        </w:rPr>
        <w:t>22</w:t>
      </w:r>
    </w:p>
    <w:p w:rsidR="002D489F" w:rsidRPr="000D771A" w:rsidRDefault="000252D7" w:rsidP="006A64E8">
      <w:pPr>
        <w:ind w:firstLine="540"/>
        <w:jc w:val="both"/>
        <w:rPr>
          <w:sz w:val="28"/>
          <w:szCs w:val="28"/>
        </w:rPr>
      </w:pPr>
      <w:r w:rsidRPr="000D771A">
        <w:rPr>
          <w:sz w:val="28"/>
          <w:szCs w:val="28"/>
        </w:rPr>
        <w:t>Материальн</w:t>
      </w:r>
      <w:r w:rsidR="006D7720" w:rsidRPr="000D771A">
        <w:rPr>
          <w:sz w:val="28"/>
          <w:szCs w:val="28"/>
        </w:rPr>
        <w:t>ую</w:t>
      </w:r>
      <w:r w:rsidRPr="000D771A">
        <w:rPr>
          <w:sz w:val="28"/>
          <w:szCs w:val="28"/>
        </w:rPr>
        <w:t xml:space="preserve"> помощ</w:t>
      </w:r>
      <w:r w:rsidR="006D7720" w:rsidRPr="000D771A">
        <w:rPr>
          <w:sz w:val="28"/>
          <w:szCs w:val="28"/>
        </w:rPr>
        <w:t>ь</w:t>
      </w:r>
      <w:r w:rsidRPr="000D771A">
        <w:rPr>
          <w:sz w:val="28"/>
          <w:szCs w:val="28"/>
        </w:rPr>
        <w:t xml:space="preserve"> от УдГУ получили </w:t>
      </w:r>
      <w:r w:rsidR="00F973EB">
        <w:rPr>
          <w:sz w:val="28"/>
          <w:szCs w:val="28"/>
        </w:rPr>
        <w:t>495</w:t>
      </w:r>
      <w:r w:rsidR="000D771A">
        <w:rPr>
          <w:sz w:val="28"/>
          <w:szCs w:val="28"/>
        </w:rPr>
        <w:t xml:space="preserve"> </w:t>
      </w:r>
      <w:r w:rsidRPr="000D771A">
        <w:rPr>
          <w:sz w:val="28"/>
          <w:szCs w:val="28"/>
        </w:rPr>
        <w:t>работник</w:t>
      </w:r>
      <w:r w:rsidR="00F973EB">
        <w:rPr>
          <w:sz w:val="28"/>
          <w:szCs w:val="28"/>
        </w:rPr>
        <w:t>ов</w:t>
      </w:r>
      <w:r w:rsidR="000D771A">
        <w:rPr>
          <w:sz w:val="28"/>
          <w:szCs w:val="28"/>
        </w:rPr>
        <w:t xml:space="preserve"> </w:t>
      </w:r>
      <w:r w:rsidR="00F973EB">
        <w:rPr>
          <w:sz w:val="28"/>
          <w:szCs w:val="28"/>
        </w:rPr>
        <w:t xml:space="preserve">на сумму </w:t>
      </w:r>
      <w:r w:rsidRPr="000D771A">
        <w:rPr>
          <w:sz w:val="28"/>
          <w:szCs w:val="28"/>
        </w:rPr>
        <w:t>1 </w:t>
      </w:r>
      <w:r w:rsidR="00F973EB" w:rsidRPr="00F973EB">
        <w:rPr>
          <w:sz w:val="28"/>
          <w:szCs w:val="28"/>
        </w:rPr>
        <w:t>374</w:t>
      </w:r>
      <w:r w:rsidR="00F973EB">
        <w:rPr>
          <w:sz w:val="28"/>
          <w:szCs w:val="28"/>
        </w:rPr>
        <w:t> </w:t>
      </w:r>
      <w:r w:rsidR="00F973EB" w:rsidRPr="00F973EB">
        <w:rPr>
          <w:sz w:val="28"/>
          <w:szCs w:val="28"/>
        </w:rPr>
        <w:t>469</w:t>
      </w:r>
      <w:r w:rsidRPr="000D771A">
        <w:rPr>
          <w:sz w:val="28"/>
          <w:szCs w:val="28"/>
        </w:rPr>
        <w:t xml:space="preserve"> руб.</w:t>
      </w:r>
      <w:r w:rsidR="00F973EB">
        <w:rPr>
          <w:sz w:val="28"/>
          <w:szCs w:val="28"/>
        </w:rPr>
        <w:t xml:space="preserve"> (на 5% больше 2011 года)</w:t>
      </w:r>
      <w:r w:rsidRPr="000D771A">
        <w:rPr>
          <w:sz w:val="28"/>
          <w:szCs w:val="28"/>
        </w:rPr>
        <w:t>.</w:t>
      </w:r>
      <w:r w:rsidR="009A1C42" w:rsidRPr="000D771A">
        <w:rPr>
          <w:sz w:val="28"/>
          <w:szCs w:val="28"/>
        </w:rPr>
        <w:t xml:space="preserve"> Матпомощь профкома – </w:t>
      </w:r>
      <w:r w:rsidR="000D771A">
        <w:rPr>
          <w:sz w:val="28"/>
          <w:szCs w:val="28"/>
        </w:rPr>
        <w:t>1 </w:t>
      </w:r>
      <w:r w:rsidR="00394918">
        <w:rPr>
          <w:sz w:val="28"/>
          <w:szCs w:val="28"/>
        </w:rPr>
        <w:t>086</w:t>
      </w:r>
      <w:r w:rsidR="00F973EB">
        <w:rPr>
          <w:sz w:val="28"/>
          <w:szCs w:val="28"/>
          <w:lang w:val="en-US"/>
        </w:rPr>
        <w:t> </w:t>
      </w:r>
      <w:r w:rsidR="00394918">
        <w:rPr>
          <w:sz w:val="28"/>
          <w:szCs w:val="28"/>
        </w:rPr>
        <w:t>0</w:t>
      </w:r>
      <w:r w:rsidR="00F973EB" w:rsidRPr="00550F08">
        <w:rPr>
          <w:sz w:val="28"/>
          <w:szCs w:val="28"/>
        </w:rPr>
        <w:t>00</w:t>
      </w:r>
      <w:r w:rsidR="009A1C42" w:rsidRPr="000D771A">
        <w:rPr>
          <w:sz w:val="28"/>
          <w:szCs w:val="28"/>
        </w:rPr>
        <w:t xml:space="preserve"> руб</w:t>
      </w:r>
      <w:r w:rsidR="00EA1DF6">
        <w:rPr>
          <w:sz w:val="28"/>
          <w:szCs w:val="28"/>
        </w:rPr>
        <w:t>.</w:t>
      </w:r>
      <w:r w:rsidR="00F973EB">
        <w:rPr>
          <w:sz w:val="28"/>
          <w:szCs w:val="28"/>
        </w:rPr>
        <w:t>,</w:t>
      </w:r>
      <w:r w:rsidR="00EA1DF6">
        <w:rPr>
          <w:sz w:val="28"/>
          <w:szCs w:val="28"/>
        </w:rPr>
        <w:t xml:space="preserve"> </w:t>
      </w:r>
      <w:r w:rsidR="00394918">
        <w:rPr>
          <w:sz w:val="28"/>
          <w:szCs w:val="28"/>
        </w:rPr>
        <w:t>639</w:t>
      </w:r>
      <w:r w:rsidR="009A1C42" w:rsidRPr="000D771A">
        <w:rPr>
          <w:sz w:val="28"/>
          <w:szCs w:val="28"/>
        </w:rPr>
        <w:t xml:space="preserve"> человек.</w:t>
      </w:r>
    </w:p>
    <w:p w:rsidR="002F438E" w:rsidRPr="00BD6E7F" w:rsidRDefault="002F438E" w:rsidP="002F438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F973EB">
        <w:rPr>
          <w:rFonts w:ascii="Arial" w:hAnsi="Arial" w:cs="Arial"/>
          <w:sz w:val="28"/>
          <w:szCs w:val="28"/>
          <w:bdr w:val="single" w:sz="4" w:space="0" w:color="auto"/>
        </w:rPr>
        <w:t>23</w:t>
      </w:r>
    </w:p>
    <w:p w:rsidR="00BC53D9" w:rsidRPr="0075705C" w:rsidRDefault="00BC53D9" w:rsidP="006A64E8">
      <w:pPr>
        <w:ind w:firstLine="540"/>
        <w:jc w:val="both"/>
        <w:rPr>
          <w:sz w:val="28"/>
          <w:szCs w:val="28"/>
        </w:rPr>
      </w:pPr>
      <w:r w:rsidRPr="0075705C">
        <w:rPr>
          <w:sz w:val="28"/>
          <w:szCs w:val="28"/>
        </w:rPr>
        <w:t>Наши предложения по систем</w:t>
      </w:r>
      <w:r w:rsidR="00643A4A">
        <w:rPr>
          <w:sz w:val="28"/>
          <w:szCs w:val="28"/>
        </w:rPr>
        <w:t>е</w:t>
      </w:r>
      <w:r w:rsidRPr="0075705C">
        <w:rPr>
          <w:sz w:val="28"/>
          <w:szCs w:val="28"/>
        </w:rPr>
        <w:t xml:space="preserve"> оплаты труда: </w:t>
      </w:r>
    </w:p>
    <w:p w:rsidR="002E494C" w:rsidRDefault="002E494C" w:rsidP="00F973EB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оптимизацию структуры и штата как основу для повышения оплаты труда работников университета;</w:t>
      </w:r>
    </w:p>
    <w:p w:rsidR="00427301" w:rsidRPr="00F973EB" w:rsidRDefault="00B90F9B" w:rsidP="00F973EB">
      <w:pPr>
        <w:numPr>
          <w:ilvl w:val="0"/>
          <w:numId w:val="16"/>
        </w:numPr>
        <w:jc w:val="both"/>
        <w:rPr>
          <w:sz w:val="28"/>
          <w:szCs w:val="28"/>
        </w:rPr>
      </w:pPr>
      <w:r w:rsidRPr="00F973EB">
        <w:rPr>
          <w:sz w:val="28"/>
          <w:szCs w:val="28"/>
        </w:rPr>
        <w:t>разработать систему бюджетирования деятельности и формир</w:t>
      </w:r>
      <w:r w:rsidRPr="00F973EB">
        <w:rPr>
          <w:sz w:val="28"/>
          <w:szCs w:val="28"/>
        </w:rPr>
        <w:t>о</w:t>
      </w:r>
      <w:r w:rsidRPr="00F973EB">
        <w:rPr>
          <w:sz w:val="28"/>
          <w:szCs w:val="28"/>
        </w:rPr>
        <w:t>вания фондов заработной платы структурных подразделений;</w:t>
      </w:r>
    </w:p>
    <w:p w:rsidR="00427301" w:rsidRPr="00386C5D" w:rsidRDefault="00B90F9B" w:rsidP="00F973EB">
      <w:pPr>
        <w:numPr>
          <w:ilvl w:val="0"/>
          <w:numId w:val="16"/>
        </w:numPr>
        <w:jc w:val="both"/>
        <w:rPr>
          <w:sz w:val="28"/>
          <w:szCs w:val="28"/>
        </w:rPr>
      </w:pPr>
      <w:r w:rsidRPr="00F973EB">
        <w:rPr>
          <w:sz w:val="28"/>
          <w:szCs w:val="28"/>
        </w:rPr>
        <w:t>восстановить практику использования рейтинговых оценок в си</w:t>
      </w:r>
      <w:r w:rsidRPr="00F973EB">
        <w:rPr>
          <w:sz w:val="28"/>
          <w:szCs w:val="28"/>
        </w:rPr>
        <w:t>с</w:t>
      </w:r>
      <w:r w:rsidRPr="00F973EB">
        <w:rPr>
          <w:sz w:val="28"/>
          <w:szCs w:val="28"/>
        </w:rPr>
        <w:t>теме оплаты труда;</w:t>
      </w:r>
    </w:p>
    <w:p w:rsidR="00315273" w:rsidRDefault="00315273" w:rsidP="006A64E8">
      <w:pPr>
        <w:ind w:firstLine="540"/>
        <w:jc w:val="both"/>
        <w:rPr>
          <w:color w:val="808080"/>
          <w:sz w:val="28"/>
          <w:szCs w:val="28"/>
        </w:rPr>
      </w:pPr>
    </w:p>
    <w:p w:rsidR="00315273" w:rsidRPr="00BD6E7F" w:rsidRDefault="00315273" w:rsidP="00315273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24</w:t>
      </w:r>
    </w:p>
    <w:p w:rsidR="00D961B9" w:rsidRDefault="002D489F" w:rsidP="00D961B9">
      <w:pPr>
        <w:ind w:firstLine="540"/>
        <w:jc w:val="both"/>
        <w:rPr>
          <w:b/>
          <w:i/>
          <w:sz w:val="28"/>
          <w:szCs w:val="28"/>
        </w:rPr>
      </w:pPr>
      <w:r w:rsidRPr="00D129CF">
        <w:rPr>
          <w:b/>
          <w:i/>
          <w:sz w:val="28"/>
          <w:szCs w:val="28"/>
        </w:rPr>
        <w:t xml:space="preserve">4. </w:t>
      </w:r>
      <w:r w:rsidR="00D961B9" w:rsidRPr="00D129CF">
        <w:rPr>
          <w:b/>
          <w:i/>
          <w:sz w:val="28"/>
          <w:szCs w:val="28"/>
        </w:rPr>
        <w:t>Нормы</w:t>
      </w:r>
      <w:r w:rsidR="004C3440">
        <w:rPr>
          <w:b/>
          <w:i/>
          <w:sz w:val="28"/>
          <w:szCs w:val="28"/>
        </w:rPr>
        <w:t xml:space="preserve"> и режимы </w:t>
      </w:r>
      <w:r w:rsidR="00D961B9" w:rsidRPr="00D129CF">
        <w:rPr>
          <w:b/>
          <w:i/>
          <w:sz w:val="28"/>
          <w:szCs w:val="28"/>
        </w:rPr>
        <w:t xml:space="preserve"> рабочего времени</w:t>
      </w:r>
    </w:p>
    <w:p w:rsidR="00315273" w:rsidRDefault="00315273" w:rsidP="00D961B9">
      <w:pPr>
        <w:ind w:firstLine="540"/>
        <w:jc w:val="both"/>
        <w:rPr>
          <w:b/>
          <w:i/>
          <w:sz w:val="28"/>
          <w:szCs w:val="28"/>
        </w:rPr>
      </w:pPr>
    </w:p>
    <w:p w:rsidR="002F438E" w:rsidRPr="00BD6E7F" w:rsidRDefault="002F438E" w:rsidP="002F438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315273">
        <w:rPr>
          <w:rFonts w:ascii="Arial" w:hAnsi="Arial" w:cs="Arial"/>
          <w:sz w:val="28"/>
          <w:szCs w:val="28"/>
          <w:bdr w:val="single" w:sz="4" w:space="0" w:color="auto"/>
        </w:rPr>
        <w:t>25</w:t>
      </w:r>
    </w:p>
    <w:p w:rsidR="00DC623F" w:rsidRDefault="00DC623F" w:rsidP="00DC623F">
      <w:pPr>
        <w:pStyle w:val="a8"/>
        <w:keepNext/>
      </w:pPr>
      <w:r>
        <w:t xml:space="preserve">Таблица </w:t>
      </w:r>
      <w:fldSimple w:instr=" SEQ Таблица \* ARABIC ">
        <w:r w:rsidR="00622AF7">
          <w:rPr>
            <w:noProof/>
          </w:rPr>
          <w:t>8</w:t>
        </w:r>
      </w:fldSimple>
      <w:r>
        <w:t>. Средняя плановая (расчетная) годовая нагрузка преподавателей</w:t>
      </w:r>
    </w:p>
    <w:tbl>
      <w:tblPr>
        <w:tblStyle w:val="a6"/>
        <w:tblW w:w="0" w:type="auto"/>
        <w:tblLook w:val="04A0"/>
      </w:tblPr>
      <w:tblGrid>
        <w:gridCol w:w="2235"/>
        <w:gridCol w:w="3685"/>
      </w:tblGrid>
      <w:tr w:rsidR="00315273" w:rsidRPr="00DC623F" w:rsidTr="00DC623F">
        <w:tc>
          <w:tcPr>
            <w:tcW w:w="2235" w:type="dxa"/>
            <w:vAlign w:val="center"/>
          </w:tcPr>
          <w:p w:rsidR="00315273" w:rsidRPr="00DC623F" w:rsidRDefault="00315273" w:rsidP="00DC623F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  <w:lang w:val="en-US"/>
              </w:rPr>
              <w:t>Учебный год</w:t>
            </w:r>
          </w:p>
        </w:tc>
        <w:tc>
          <w:tcPr>
            <w:tcW w:w="3685" w:type="dxa"/>
            <w:vAlign w:val="center"/>
          </w:tcPr>
          <w:p w:rsidR="00315273" w:rsidRPr="00DC623F" w:rsidRDefault="00315273" w:rsidP="00DC623F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</w:rPr>
              <w:t>Плановая нагрузка</w:t>
            </w:r>
            <w:r>
              <w:rPr>
                <w:sz w:val="28"/>
                <w:szCs w:val="28"/>
              </w:rPr>
              <w:t>, ак.ч./ставка</w:t>
            </w:r>
          </w:p>
        </w:tc>
      </w:tr>
      <w:tr w:rsidR="00315273" w:rsidRPr="00DC623F" w:rsidTr="00DC623F">
        <w:tc>
          <w:tcPr>
            <w:tcW w:w="2235" w:type="dxa"/>
            <w:vAlign w:val="center"/>
          </w:tcPr>
          <w:p w:rsidR="00315273" w:rsidRPr="00DC623F" w:rsidRDefault="00315273" w:rsidP="00DC623F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</w:rPr>
              <w:t>2010/2011</w:t>
            </w:r>
          </w:p>
        </w:tc>
        <w:tc>
          <w:tcPr>
            <w:tcW w:w="3685" w:type="dxa"/>
            <w:vAlign w:val="center"/>
          </w:tcPr>
          <w:p w:rsidR="00315273" w:rsidRPr="00DC623F" w:rsidRDefault="00315273" w:rsidP="00DC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</w:tr>
      <w:tr w:rsidR="00315273" w:rsidRPr="00DC623F" w:rsidTr="00DC623F">
        <w:tc>
          <w:tcPr>
            <w:tcW w:w="2235" w:type="dxa"/>
            <w:vAlign w:val="center"/>
          </w:tcPr>
          <w:p w:rsidR="00315273" w:rsidRPr="00DC623F" w:rsidRDefault="00315273" w:rsidP="00315273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</w:rPr>
              <w:t>2011/2</w:t>
            </w:r>
            <w:r>
              <w:rPr>
                <w:sz w:val="28"/>
                <w:szCs w:val="28"/>
              </w:rPr>
              <w:t>0</w:t>
            </w:r>
            <w:r w:rsidRPr="00DC623F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315273" w:rsidRPr="00DC623F" w:rsidRDefault="00315273" w:rsidP="00DC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864,8</w:t>
            </w:r>
          </w:p>
        </w:tc>
      </w:tr>
      <w:tr w:rsidR="00315273" w:rsidRPr="00DC623F" w:rsidTr="00DC623F">
        <w:tc>
          <w:tcPr>
            <w:tcW w:w="2235" w:type="dxa"/>
            <w:vAlign w:val="center"/>
          </w:tcPr>
          <w:p w:rsidR="00315273" w:rsidRPr="00DC623F" w:rsidRDefault="00315273" w:rsidP="00DC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2012/2013</w:t>
            </w:r>
          </w:p>
        </w:tc>
        <w:tc>
          <w:tcPr>
            <w:tcW w:w="3685" w:type="dxa"/>
            <w:vAlign w:val="center"/>
          </w:tcPr>
          <w:p w:rsidR="00315273" w:rsidRDefault="00315273" w:rsidP="00DC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817,3</w:t>
            </w:r>
          </w:p>
        </w:tc>
      </w:tr>
    </w:tbl>
    <w:p w:rsidR="00701F53" w:rsidRDefault="00315273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нагрузки в текущем учебном году объясняется оптимизацией учебных планов и структуры учебного процесса; это верный подход, так как </w:t>
      </w:r>
      <w:r>
        <w:rPr>
          <w:sz w:val="28"/>
          <w:szCs w:val="28"/>
        </w:rPr>
        <w:lastRenderedPageBreak/>
        <w:t xml:space="preserve">позволяет снизить трудозатраты преподавателей при соблюдении требований государственных образовательных стандартов. </w:t>
      </w:r>
    </w:p>
    <w:p w:rsidR="00AD6817" w:rsidRDefault="00AD6817" w:rsidP="006A64E8">
      <w:pPr>
        <w:ind w:firstLine="540"/>
        <w:jc w:val="both"/>
        <w:rPr>
          <w:sz w:val="28"/>
          <w:szCs w:val="28"/>
        </w:rPr>
      </w:pPr>
    </w:p>
    <w:p w:rsidR="00622AF7" w:rsidRPr="00BD6E7F" w:rsidRDefault="00622AF7" w:rsidP="00622AF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26</w:t>
      </w:r>
    </w:p>
    <w:p w:rsidR="00622AF7" w:rsidRDefault="00622AF7" w:rsidP="00622A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средней нагрузки на 1 ставку ППС в текущем учебном году по факультетам и институтам неравномерно</w:t>
      </w:r>
      <w:r w:rsidR="00057D65">
        <w:rPr>
          <w:sz w:val="28"/>
          <w:szCs w:val="28"/>
        </w:rPr>
        <w:t xml:space="preserve"> (</w:t>
      </w:r>
      <w:r w:rsidR="002975E3">
        <w:rPr>
          <w:sz w:val="28"/>
          <w:szCs w:val="28"/>
        </w:rPr>
        <w:fldChar w:fldCharType="begin"/>
      </w:r>
      <w:r w:rsidR="00057D65">
        <w:rPr>
          <w:sz w:val="28"/>
          <w:szCs w:val="28"/>
        </w:rPr>
        <w:instrText xml:space="preserve"> REF _Ref347153960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057D65">
        <w:t xml:space="preserve">Таблица </w:t>
      </w:r>
      <w:r w:rsidR="00057D65">
        <w:rPr>
          <w:noProof/>
        </w:rPr>
        <w:t>9</w:t>
      </w:r>
      <w:r w:rsidR="002975E3">
        <w:rPr>
          <w:sz w:val="28"/>
          <w:szCs w:val="28"/>
        </w:rPr>
        <w:fldChar w:fldCharType="end"/>
      </w:r>
      <w:r w:rsidR="00057D6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22AF7" w:rsidRDefault="00622AF7" w:rsidP="00622AF7">
      <w:pPr>
        <w:pStyle w:val="a8"/>
        <w:keepNext/>
      </w:pPr>
      <w:bookmarkStart w:id="7" w:name="_Ref347153960"/>
      <w:r>
        <w:t xml:space="preserve">Таблица </w:t>
      </w:r>
      <w:fldSimple w:instr=" SEQ Таблица \* ARABIC ">
        <w:r>
          <w:rPr>
            <w:noProof/>
          </w:rPr>
          <w:t>9</w:t>
        </w:r>
      </w:fldSimple>
      <w:bookmarkEnd w:id="7"/>
      <w:r>
        <w:t>. Средняя нагрузка ППС на 1 ставку (основные), в 2012/13 уч.г., ак.ч.</w:t>
      </w:r>
    </w:p>
    <w:tbl>
      <w:tblPr>
        <w:tblStyle w:val="a6"/>
        <w:tblW w:w="4120" w:type="dxa"/>
        <w:jc w:val="center"/>
        <w:tblLook w:val="04A0"/>
      </w:tblPr>
      <w:tblGrid>
        <w:gridCol w:w="1240"/>
        <w:gridCol w:w="960"/>
        <w:gridCol w:w="964"/>
        <w:gridCol w:w="956"/>
      </w:tblGrid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ИИиД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ФПИЯ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ИПСУБ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ИИЯЛ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ИФ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ФИТиВТ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ИГЗ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ФФКиС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ФЖ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ИНиГ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ФСФ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ГФ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БХФ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ИЭиУ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ФУФ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ФМБТ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ФЭФ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ИППСТ</w:t>
            </w:r>
          </w:p>
        </w:tc>
        <w:tc>
          <w:tcPr>
            <w:tcW w:w="956" w:type="dxa"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</w:tr>
      <w:tr w:rsidR="00622AF7" w:rsidTr="00622AF7">
        <w:trPr>
          <w:trHeight w:val="300"/>
          <w:jc w:val="center"/>
        </w:trPr>
        <w:tc>
          <w:tcPr>
            <w:tcW w:w="1240" w:type="dxa"/>
            <w:noWrap/>
            <w:hideMark/>
          </w:tcPr>
          <w:p w:rsidR="00622AF7" w:rsidRDefault="00622AF7" w:rsidP="00622A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ФФ</w:t>
            </w:r>
          </w:p>
        </w:tc>
        <w:tc>
          <w:tcPr>
            <w:tcW w:w="960" w:type="dxa"/>
            <w:noWrap/>
            <w:hideMark/>
          </w:tcPr>
          <w:p w:rsidR="00622AF7" w:rsidRDefault="00622AF7" w:rsidP="00622A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964" w:type="dxa"/>
          </w:tcPr>
          <w:p w:rsidR="00622AF7" w:rsidRDefault="00622AF7" w:rsidP="00622A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</w:tcPr>
          <w:p w:rsidR="00622AF7" w:rsidRDefault="00622AF7" w:rsidP="00622A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22AF7" w:rsidRDefault="00622AF7" w:rsidP="006A64E8">
      <w:pPr>
        <w:ind w:firstLine="540"/>
        <w:jc w:val="both"/>
        <w:rPr>
          <w:sz w:val="28"/>
          <w:szCs w:val="28"/>
        </w:rPr>
      </w:pPr>
    </w:p>
    <w:p w:rsidR="00701F53" w:rsidRPr="00BD6E7F" w:rsidRDefault="00701F53" w:rsidP="00701F53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315273">
        <w:rPr>
          <w:rFonts w:ascii="Arial" w:hAnsi="Arial" w:cs="Arial"/>
          <w:sz w:val="28"/>
          <w:szCs w:val="28"/>
          <w:bdr w:val="single" w:sz="4" w:space="0" w:color="auto"/>
        </w:rPr>
        <w:t>2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7</w:t>
      </w:r>
    </w:p>
    <w:p w:rsidR="00B64DB1" w:rsidRDefault="00622AF7" w:rsidP="006A64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допустимая нагрузка на 1 ставку установлена КД в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 880 часов. </w:t>
      </w:r>
      <w:r w:rsidR="00157934">
        <w:rPr>
          <w:sz w:val="28"/>
          <w:szCs w:val="28"/>
        </w:rPr>
        <w:t>Превышение предельно допустимой нагрузки на преподават</w:t>
      </w:r>
      <w:r w:rsidR="00157934">
        <w:rPr>
          <w:sz w:val="28"/>
          <w:szCs w:val="28"/>
        </w:rPr>
        <w:t>е</w:t>
      </w:r>
      <w:r w:rsidR="00157934">
        <w:rPr>
          <w:sz w:val="28"/>
          <w:szCs w:val="28"/>
        </w:rPr>
        <w:t xml:space="preserve">лей представлено </w:t>
      </w:r>
      <w:r w:rsidR="00186695">
        <w:rPr>
          <w:sz w:val="28"/>
          <w:szCs w:val="28"/>
        </w:rPr>
        <w:t>на слайде (</w:t>
      </w:r>
      <w:r w:rsidR="002975E3">
        <w:rPr>
          <w:sz w:val="28"/>
          <w:szCs w:val="28"/>
        </w:rPr>
        <w:fldChar w:fldCharType="begin"/>
      </w:r>
      <w:r w:rsidR="00A4364A">
        <w:rPr>
          <w:sz w:val="28"/>
          <w:szCs w:val="28"/>
        </w:rPr>
        <w:instrText xml:space="preserve"> REF _Ref315249521 \h </w:instrText>
      </w:r>
      <w:r w:rsidR="002975E3">
        <w:rPr>
          <w:sz w:val="28"/>
          <w:szCs w:val="28"/>
        </w:rPr>
      </w:r>
      <w:r w:rsidR="002975E3">
        <w:rPr>
          <w:sz w:val="28"/>
          <w:szCs w:val="28"/>
        </w:rPr>
        <w:fldChar w:fldCharType="separate"/>
      </w:r>
      <w:r w:rsidR="00057D65">
        <w:t xml:space="preserve">Таблица </w:t>
      </w:r>
      <w:r w:rsidR="00057D65">
        <w:rPr>
          <w:noProof/>
        </w:rPr>
        <w:t>10</w:t>
      </w:r>
      <w:r w:rsidR="002975E3">
        <w:rPr>
          <w:sz w:val="28"/>
          <w:szCs w:val="28"/>
        </w:rPr>
        <w:fldChar w:fldCharType="end"/>
      </w:r>
      <w:r w:rsidR="00186695">
        <w:rPr>
          <w:sz w:val="28"/>
          <w:szCs w:val="28"/>
        </w:rPr>
        <w:t>)</w:t>
      </w:r>
      <w:r w:rsidR="00A4364A">
        <w:rPr>
          <w:sz w:val="28"/>
          <w:szCs w:val="28"/>
        </w:rPr>
        <w:t>.</w:t>
      </w:r>
      <w:r w:rsidR="00E36698">
        <w:rPr>
          <w:sz w:val="28"/>
          <w:szCs w:val="28"/>
        </w:rPr>
        <w:t xml:space="preserve"> У 193 преподавателя приведенная нагрузка превышает 880 часов, из них у 120 человек – от 880 до 900 часов.</w:t>
      </w:r>
    </w:p>
    <w:p w:rsidR="00A4364A" w:rsidRDefault="00A4364A" w:rsidP="00A4364A">
      <w:pPr>
        <w:pStyle w:val="a8"/>
        <w:keepNext/>
      </w:pPr>
      <w:bookmarkStart w:id="8" w:name="_Ref315249521"/>
      <w:r>
        <w:t xml:space="preserve">Таблица </w:t>
      </w:r>
      <w:fldSimple w:instr=" SEQ Таблица \* ARABIC ">
        <w:r w:rsidR="00622AF7">
          <w:rPr>
            <w:noProof/>
          </w:rPr>
          <w:t>10</w:t>
        </w:r>
      </w:fldSimple>
      <w:bookmarkEnd w:id="8"/>
      <w:r>
        <w:t>. Превышение предельной нагрузки ППС</w:t>
      </w:r>
    </w:p>
    <w:tbl>
      <w:tblPr>
        <w:tblStyle w:val="a6"/>
        <w:tblW w:w="9606" w:type="dxa"/>
        <w:tblLook w:val="04A0"/>
      </w:tblPr>
      <w:tblGrid>
        <w:gridCol w:w="1951"/>
        <w:gridCol w:w="2977"/>
        <w:gridCol w:w="4678"/>
      </w:tblGrid>
      <w:tr w:rsidR="00157934" w:rsidRPr="00DC623F" w:rsidTr="00157934">
        <w:tc>
          <w:tcPr>
            <w:tcW w:w="1951" w:type="dxa"/>
            <w:vAlign w:val="center"/>
          </w:tcPr>
          <w:p w:rsidR="00157934" w:rsidRPr="00DC623F" w:rsidRDefault="00157934" w:rsidP="00966661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  <w:lang w:val="en-US"/>
              </w:rPr>
              <w:t>Учебный год</w:t>
            </w:r>
          </w:p>
        </w:tc>
        <w:tc>
          <w:tcPr>
            <w:tcW w:w="2977" w:type="dxa"/>
            <w:vAlign w:val="center"/>
          </w:tcPr>
          <w:p w:rsidR="00157934" w:rsidRPr="00DC623F" w:rsidRDefault="00157934" w:rsidP="00966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Предельная нагрузка, ак.ч./ставка</w:t>
            </w:r>
          </w:p>
        </w:tc>
        <w:tc>
          <w:tcPr>
            <w:tcW w:w="4678" w:type="dxa"/>
            <w:vAlign w:val="center"/>
          </w:tcPr>
          <w:p w:rsidR="00157934" w:rsidRPr="00DC623F" w:rsidRDefault="00157934" w:rsidP="00966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Превышение</w:t>
            </w:r>
          </w:p>
        </w:tc>
      </w:tr>
      <w:tr w:rsidR="00157934" w:rsidRPr="00DC623F" w:rsidTr="00157934">
        <w:tc>
          <w:tcPr>
            <w:tcW w:w="1951" w:type="dxa"/>
            <w:vAlign w:val="center"/>
          </w:tcPr>
          <w:p w:rsidR="00157934" w:rsidRPr="00DC623F" w:rsidRDefault="00157934" w:rsidP="00966661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</w:rPr>
              <w:t>2010/2011</w:t>
            </w:r>
          </w:p>
        </w:tc>
        <w:tc>
          <w:tcPr>
            <w:tcW w:w="2977" w:type="dxa"/>
            <w:vAlign w:val="center"/>
          </w:tcPr>
          <w:p w:rsidR="00157934" w:rsidRPr="00DC623F" w:rsidRDefault="00157934" w:rsidP="00157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4678" w:type="dxa"/>
            <w:vAlign w:val="center"/>
          </w:tcPr>
          <w:p w:rsidR="00A4364A" w:rsidRPr="00DC623F" w:rsidRDefault="00157934" w:rsidP="0031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преподавателей</w:t>
            </w:r>
          </w:p>
        </w:tc>
      </w:tr>
      <w:tr w:rsidR="00157934" w:rsidRPr="00DC623F" w:rsidTr="00157934">
        <w:tc>
          <w:tcPr>
            <w:tcW w:w="1951" w:type="dxa"/>
            <w:vAlign w:val="center"/>
          </w:tcPr>
          <w:p w:rsidR="00157934" w:rsidRPr="00DC623F" w:rsidRDefault="00157934" w:rsidP="00315273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</w:rPr>
              <w:t>2011/2</w:t>
            </w:r>
            <w:r w:rsidR="00315273">
              <w:rPr>
                <w:sz w:val="28"/>
                <w:szCs w:val="28"/>
              </w:rPr>
              <w:t>0</w:t>
            </w:r>
            <w:r w:rsidRPr="00DC623F"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 w:rsidR="00157934" w:rsidRPr="00DC623F" w:rsidRDefault="00157934" w:rsidP="00966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4678" w:type="dxa"/>
            <w:vAlign w:val="center"/>
          </w:tcPr>
          <w:p w:rsidR="00157934" w:rsidRPr="00157934" w:rsidRDefault="00157934" w:rsidP="00315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259 преподавателей </w:t>
            </w:r>
          </w:p>
        </w:tc>
      </w:tr>
      <w:tr w:rsidR="00315273" w:rsidRPr="00DC623F" w:rsidTr="00157934">
        <w:tc>
          <w:tcPr>
            <w:tcW w:w="1951" w:type="dxa"/>
            <w:vAlign w:val="center"/>
          </w:tcPr>
          <w:p w:rsidR="00315273" w:rsidRPr="00DC623F" w:rsidRDefault="00315273" w:rsidP="00315273">
            <w:pPr>
              <w:jc w:val="center"/>
              <w:rPr>
                <w:sz w:val="28"/>
                <w:szCs w:val="28"/>
              </w:rPr>
            </w:pPr>
            <w:r w:rsidRPr="00DC623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DC623F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0</w:t>
            </w:r>
            <w:r w:rsidRPr="00DC62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15273" w:rsidRDefault="00315273" w:rsidP="00966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4678" w:type="dxa"/>
            <w:vAlign w:val="center"/>
          </w:tcPr>
          <w:p w:rsidR="00315273" w:rsidRDefault="001A6708" w:rsidP="001A6708">
            <w:pPr>
              <w:rPr>
                <w:sz w:val="28"/>
                <w:szCs w:val="28"/>
              </w:rPr>
            </w:pPr>
            <w:r w:rsidRPr="001A6708">
              <w:rPr>
                <w:sz w:val="28"/>
                <w:szCs w:val="28"/>
              </w:rPr>
              <w:t xml:space="preserve">193 чел. (более 880 час.), </w:t>
            </w:r>
            <w:r w:rsidRPr="001A6708">
              <w:rPr>
                <w:sz w:val="28"/>
                <w:szCs w:val="28"/>
              </w:rPr>
              <w:br/>
              <w:t xml:space="preserve">в т.ч.120 чел. – от 880 до 900 часов </w:t>
            </w:r>
          </w:p>
        </w:tc>
      </w:tr>
    </w:tbl>
    <w:p w:rsidR="00643A4A" w:rsidRDefault="00643A4A" w:rsidP="006A64E8">
      <w:pPr>
        <w:ind w:firstLine="540"/>
        <w:jc w:val="both"/>
        <w:rPr>
          <w:sz w:val="28"/>
          <w:szCs w:val="28"/>
        </w:rPr>
      </w:pPr>
    </w:p>
    <w:p w:rsidR="00090B77" w:rsidRPr="00BD6E7F" w:rsidRDefault="00090B77" w:rsidP="00090B77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2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8</w:t>
      </w:r>
    </w:p>
    <w:p w:rsidR="00C77617" w:rsidRDefault="00C77617" w:rsidP="00C77617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Охрана труда</w:t>
      </w:r>
    </w:p>
    <w:p w:rsidR="00827F69" w:rsidRPr="00BD6E7F" w:rsidRDefault="00827F69" w:rsidP="00827F6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090B77">
        <w:rPr>
          <w:rFonts w:ascii="Arial" w:hAnsi="Arial" w:cs="Arial"/>
          <w:sz w:val="28"/>
          <w:szCs w:val="28"/>
          <w:bdr w:val="single" w:sz="4" w:space="0" w:color="auto"/>
        </w:rPr>
        <w:t>2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9</w:t>
      </w:r>
    </w:p>
    <w:p w:rsidR="00C77617" w:rsidRPr="00966661" w:rsidRDefault="00966661" w:rsidP="00C77617">
      <w:pPr>
        <w:ind w:firstLine="540"/>
        <w:jc w:val="both"/>
        <w:rPr>
          <w:sz w:val="28"/>
          <w:szCs w:val="28"/>
        </w:rPr>
      </w:pPr>
      <w:r w:rsidRPr="00966661">
        <w:rPr>
          <w:sz w:val="28"/>
          <w:szCs w:val="28"/>
        </w:rPr>
        <w:t>Ст. 226 ТК РФ</w:t>
      </w:r>
      <w:r w:rsidR="00C77617" w:rsidRPr="00966661">
        <w:rPr>
          <w:sz w:val="28"/>
          <w:szCs w:val="28"/>
        </w:rPr>
        <w:t xml:space="preserve"> </w:t>
      </w:r>
      <w:r w:rsidRPr="00966661">
        <w:rPr>
          <w:sz w:val="28"/>
          <w:szCs w:val="28"/>
        </w:rPr>
        <w:t xml:space="preserve">обязывает </w:t>
      </w:r>
      <w:r w:rsidR="00C77617" w:rsidRPr="00966661">
        <w:rPr>
          <w:sz w:val="28"/>
          <w:szCs w:val="28"/>
        </w:rPr>
        <w:t xml:space="preserve">работодателем </w:t>
      </w:r>
      <w:r w:rsidRPr="00966661">
        <w:rPr>
          <w:sz w:val="28"/>
          <w:szCs w:val="28"/>
        </w:rPr>
        <w:t xml:space="preserve">финансировать </w:t>
      </w:r>
      <w:r w:rsidR="00C77617" w:rsidRPr="00966661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="00C77617" w:rsidRPr="00966661">
        <w:rPr>
          <w:sz w:val="28"/>
          <w:szCs w:val="28"/>
        </w:rPr>
        <w:t xml:space="preserve"> по улучшению условий и охраны труда. В соответствии </w:t>
      </w:r>
      <w:r>
        <w:rPr>
          <w:sz w:val="28"/>
          <w:szCs w:val="28"/>
        </w:rPr>
        <w:t>Отраслевым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и </w:t>
      </w:r>
      <w:r w:rsidR="00C77617" w:rsidRPr="00966661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C77617" w:rsidRPr="00966661">
        <w:rPr>
          <w:sz w:val="28"/>
          <w:szCs w:val="28"/>
        </w:rPr>
        <w:t xml:space="preserve">5.2 КД на </w:t>
      </w:r>
      <w:r>
        <w:rPr>
          <w:sz w:val="28"/>
          <w:szCs w:val="28"/>
        </w:rPr>
        <w:t>о</w:t>
      </w:r>
      <w:r w:rsidR="00C77617" w:rsidRPr="00966661">
        <w:rPr>
          <w:sz w:val="28"/>
          <w:szCs w:val="28"/>
        </w:rPr>
        <w:t xml:space="preserve">храну </w:t>
      </w:r>
      <w:r>
        <w:rPr>
          <w:sz w:val="28"/>
          <w:szCs w:val="28"/>
        </w:rPr>
        <w:t>т</w:t>
      </w:r>
      <w:r w:rsidR="00C77617" w:rsidRPr="00966661">
        <w:rPr>
          <w:sz w:val="28"/>
          <w:szCs w:val="28"/>
        </w:rPr>
        <w:t xml:space="preserve">руда должно быть выделено не менее </w:t>
      </w:r>
      <w:r w:rsidRPr="00966661">
        <w:rPr>
          <w:sz w:val="28"/>
          <w:szCs w:val="28"/>
        </w:rPr>
        <w:t>2</w:t>
      </w:r>
      <w:r w:rsidR="00C77617" w:rsidRPr="00966661">
        <w:rPr>
          <w:sz w:val="28"/>
          <w:szCs w:val="28"/>
        </w:rPr>
        <w:t xml:space="preserve">% от </w:t>
      </w:r>
      <w:r w:rsidRPr="00966661">
        <w:rPr>
          <w:sz w:val="28"/>
          <w:szCs w:val="28"/>
        </w:rPr>
        <w:t>фонда оплаты труда.</w:t>
      </w:r>
    </w:p>
    <w:p w:rsidR="00AA1693" w:rsidRDefault="00901647" w:rsidP="00C77617">
      <w:pPr>
        <w:ind w:firstLine="540"/>
        <w:jc w:val="both"/>
        <w:rPr>
          <w:sz w:val="28"/>
          <w:szCs w:val="28"/>
        </w:rPr>
      </w:pPr>
      <w:r w:rsidRPr="00966661">
        <w:rPr>
          <w:sz w:val="28"/>
          <w:szCs w:val="28"/>
        </w:rPr>
        <w:t>Финансирование</w:t>
      </w:r>
      <w:r w:rsidR="00C77617" w:rsidRPr="00966661">
        <w:rPr>
          <w:sz w:val="28"/>
          <w:szCs w:val="28"/>
        </w:rPr>
        <w:t xml:space="preserve"> мероприяти</w:t>
      </w:r>
      <w:r w:rsidRPr="00966661">
        <w:rPr>
          <w:sz w:val="28"/>
          <w:szCs w:val="28"/>
        </w:rPr>
        <w:t>й</w:t>
      </w:r>
      <w:r w:rsidR="00C77617" w:rsidRPr="00966661">
        <w:rPr>
          <w:sz w:val="28"/>
          <w:szCs w:val="28"/>
        </w:rPr>
        <w:t xml:space="preserve"> по улучшению условий и охран</w:t>
      </w:r>
      <w:r w:rsidRPr="00966661">
        <w:rPr>
          <w:sz w:val="28"/>
          <w:szCs w:val="28"/>
        </w:rPr>
        <w:t>ы</w:t>
      </w:r>
      <w:r w:rsidR="00C77617" w:rsidRPr="00966661">
        <w:rPr>
          <w:sz w:val="28"/>
          <w:szCs w:val="28"/>
        </w:rPr>
        <w:t xml:space="preserve"> труда в 201</w:t>
      </w:r>
      <w:r w:rsidR="00386C5D">
        <w:rPr>
          <w:sz w:val="28"/>
          <w:szCs w:val="28"/>
        </w:rPr>
        <w:t>2</w:t>
      </w:r>
      <w:r w:rsidR="00C21002">
        <w:rPr>
          <w:sz w:val="28"/>
          <w:szCs w:val="28"/>
        </w:rPr>
        <w:t xml:space="preserve"> году, включая текущий ремонт помещений, электрооборудования, пр</w:t>
      </w:r>
      <w:r w:rsidR="00C21002">
        <w:rPr>
          <w:sz w:val="28"/>
          <w:szCs w:val="28"/>
        </w:rPr>
        <w:t>о</w:t>
      </w:r>
      <w:r w:rsidR="00C21002">
        <w:rPr>
          <w:sz w:val="28"/>
          <w:szCs w:val="28"/>
        </w:rPr>
        <w:t>тивопожарные мероприятия, средства индивидуальной защиты, аттестацию рабочих мест</w:t>
      </w:r>
      <w:r w:rsidR="00386C5D">
        <w:rPr>
          <w:sz w:val="28"/>
          <w:szCs w:val="28"/>
        </w:rPr>
        <w:t xml:space="preserve">, выплаты надбавок за вредные условия труда </w:t>
      </w:r>
      <w:r w:rsidR="00C21002">
        <w:rPr>
          <w:sz w:val="28"/>
          <w:szCs w:val="28"/>
        </w:rPr>
        <w:t xml:space="preserve">составило </w:t>
      </w:r>
      <w:r w:rsidR="00090B77">
        <w:rPr>
          <w:sz w:val="28"/>
          <w:szCs w:val="28"/>
        </w:rPr>
        <w:t>12 млн. 634</w:t>
      </w:r>
      <w:r w:rsidR="00C21002" w:rsidRPr="00C21002">
        <w:rPr>
          <w:sz w:val="28"/>
          <w:szCs w:val="28"/>
        </w:rPr>
        <w:t xml:space="preserve"> </w:t>
      </w:r>
      <w:r w:rsidR="00090B77">
        <w:rPr>
          <w:sz w:val="28"/>
          <w:szCs w:val="28"/>
        </w:rPr>
        <w:t xml:space="preserve">тыс. </w:t>
      </w:r>
      <w:r w:rsidR="00C21002" w:rsidRPr="00C21002">
        <w:rPr>
          <w:sz w:val="28"/>
          <w:szCs w:val="28"/>
        </w:rPr>
        <w:t>рублей (на 2</w:t>
      </w:r>
      <w:r w:rsidR="00090B77">
        <w:rPr>
          <w:sz w:val="28"/>
          <w:szCs w:val="28"/>
        </w:rPr>
        <w:t>6</w:t>
      </w:r>
      <w:r w:rsidR="00C21002" w:rsidRPr="00C21002">
        <w:rPr>
          <w:sz w:val="28"/>
          <w:szCs w:val="28"/>
        </w:rPr>
        <w:t>% больше прошлого года)</w:t>
      </w:r>
      <w:r w:rsidR="00C21002">
        <w:rPr>
          <w:sz w:val="28"/>
          <w:szCs w:val="28"/>
        </w:rPr>
        <w:t>.</w:t>
      </w:r>
      <w:r w:rsidR="00AA1693">
        <w:rPr>
          <w:sz w:val="28"/>
          <w:szCs w:val="28"/>
        </w:rPr>
        <w:t xml:space="preserve"> </w:t>
      </w:r>
      <w:r w:rsidR="00C21002">
        <w:rPr>
          <w:sz w:val="28"/>
          <w:szCs w:val="28"/>
        </w:rPr>
        <w:t xml:space="preserve">Это </w:t>
      </w:r>
      <w:r w:rsidR="00090B77">
        <w:rPr>
          <w:sz w:val="28"/>
          <w:szCs w:val="28"/>
        </w:rPr>
        <w:t>соответствует обяз</w:t>
      </w:r>
      <w:r w:rsidR="00090B77">
        <w:rPr>
          <w:sz w:val="28"/>
          <w:szCs w:val="28"/>
        </w:rPr>
        <w:t>а</w:t>
      </w:r>
      <w:r w:rsidR="00090B77">
        <w:rPr>
          <w:sz w:val="28"/>
          <w:szCs w:val="28"/>
        </w:rPr>
        <w:lastRenderedPageBreak/>
        <w:t>тельствам по КД</w:t>
      </w:r>
      <w:r w:rsidR="00C21002">
        <w:rPr>
          <w:sz w:val="28"/>
          <w:szCs w:val="28"/>
        </w:rPr>
        <w:t xml:space="preserve">. </w:t>
      </w:r>
      <w:r w:rsidR="00090B77">
        <w:rPr>
          <w:sz w:val="28"/>
          <w:szCs w:val="28"/>
        </w:rPr>
        <w:t>Правда, необходимо уточнить методику отнесения расх</w:t>
      </w:r>
      <w:r w:rsidR="00090B77">
        <w:rPr>
          <w:sz w:val="28"/>
          <w:szCs w:val="28"/>
        </w:rPr>
        <w:t>о</w:t>
      </w:r>
      <w:r w:rsidR="00090B77">
        <w:rPr>
          <w:sz w:val="28"/>
          <w:szCs w:val="28"/>
        </w:rPr>
        <w:t>дов на охрану труда.</w:t>
      </w:r>
    </w:p>
    <w:p w:rsidR="00C21002" w:rsidRDefault="00C21002" w:rsidP="00C77617">
      <w:pPr>
        <w:ind w:firstLine="540"/>
        <w:jc w:val="both"/>
        <w:rPr>
          <w:sz w:val="28"/>
          <w:szCs w:val="28"/>
        </w:rPr>
      </w:pPr>
    </w:p>
    <w:p w:rsidR="00186695" w:rsidRPr="00BD6E7F" w:rsidRDefault="00186695" w:rsidP="0018669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30</w:t>
      </w:r>
    </w:p>
    <w:p w:rsidR="00C77617" w:rsidRDefault="00C21002" w:rsidP="00C77617">
      <w:pPr>
        <w:ind w:firstLine="540"/>
        <w:jc w:val="both"/>
        <w:rPr>
          <w:sz w:val="28"/>
          <w:szCs w:val="28"/>
        </w:rPr>
      </w:pPr>
      <w:r w:rsidRPr="00C21002">
        <w:rPr>
          <w:sz w:val="28"/>
          <w:szCs w:val="28"/>
        </w:rPr>
        <w:t>Н</w:t>
      </w:r>
      <w:r w:rsidR="000934BD" w:rsidRPr="00C21002">
        <w:rPr>
          <w:sz w:val="28"/>
          <w:szCs w:val="28"/>
        </w:rPr>
        <w:t>есчастных случаев</w:t>
      </w:r>
      <w:r w:rsidR="00090B77">
        <w:rPr>
          <w:sz w:val="28"/>
          <w:szCs w:val="28"/>
        </w:rPr>
        <w:t>, профзаболеваний</w:t>
      </w:r>
      <w:r w:rsidRPr="00C21002">
        <w:rPr>
          <w:sz w:val="28"/>
          <w:szCs w:val="28"/>
        </w:rPr>
        <w:t xml:space="preserve"> в отчетном периоде </w:t>
      </w:r>
      <w:r w:rsidR="00090B77">
        <w:rPr>
          <w:sz w:val="28"/>
          <w:szCs w:val="28"/>
        </w:rPr>
        <w:t>выявлен</w:t>
      </w:r>
      <w:r w:rsidR="0003293C">
        <w:rPr>
          <w:sz w:val="28"/>
          <w:szCs w:val="28"/>
        </w:rPr>
        <w:t>о не было</w:t>
      </w:r>
      <w:r w:rsidR="000934BD" w:rsidRPr="00C21002">
        <w:rPr>
          <w:sz w:val="28"/>
          <w:szCs w:val="28"/>
        </w:rPr>
        <w:t xml:space="preserve">. </w:t>
      </w:r>
      <w:r w:rsidR="00AA1693" w:rsidRPr="00C21002">
        <w:rPr>
          <w:sz w:val="28"/>
          <w:szCs w:val="28"/>
        </w:rPr>
        <w:t>Обязательные м</w:t>
      </w:r>
      <w:r w:rsidR="000934BD" w:rsidRPr="00C21002">
        <w:rPr>
          <w:sz w:val="28"/>
          <w:szCs w:val="28"/>
        </w:rPr>
        <w:t xml:space="preserve">едицинские осмотры прошли </w:t>
      </w:r>
      <w:r w:rsidR="00090B77">
        <w:rPr>
          <w:sz w:val="28"/>
          <w:szCs w:val="28"/>
        </w:rPr>
        <w:t>572</w:t>
      </w:r>
      <w:r w:rsidR="000934BD" w:rsidRPr="00C21002">
        <w:rPr>
          <w:sz w:val="28"/>
          <w:szCs w:val="28"/>
        </w:rPr>
        <w:t xml:space="preserve"> работник</w:t>
      </w:r>
      <w:r w:rsidR="00090B77">
        <w:rPr>
          <w:sz w:val="28"/>
          <w:szCs w:val="28"/>
        </w:rPr>
        <w:t>а (в 5 раз больше 2011 года)</w:t>
      </w:r>
      <w:r w:rsidR="00AA1693" w:rsidRPr="00C21002">
        <w:rPr>
          <w:sz w:val="28"/>
          <w:szCs w:val="28"/>
        </w:rPr>
        <w:t xml:space="preserve">. За работу во вредных условиях труда </w:t>
      </w:r>
      <w:r w:rsidR="00090B77">
        <w:rPr>
          <w:sz w:val="28"/>
          <w:szCs w:val="28"/>
        </w:rPr>
        <w:t>266</w:t>
      </w:r>
      <w:r w:rsidR="00AA1693" w:rsidRPr="00C21002">
        <w:rPr>
          <w:sz w:val="28"/>
          <w:szCs w:val="28"/>
        </w:rPr>
        <w:t xml:space="preserve"> человека пол</w:t>
      </w:r>
      <w:r w:rsidR="00AA1693" w:rsidRPr="00C21002">
        <w:rPr>
          <w:sz w:val="28"/>
          <w:szCs w:val="28"/>
        </w:rPr>
        <w:t>у</w:t>
      </w:r>
      <w:r w:rsidR="00AA1693" w:rsidRPr="00C21002">
        <w:rPr>
          <w:sz w:val="28"/>
          <w:szCs w:val="28"/>
        </w:rPr>
        <w:t>чают молоко</w:t>
      </w:r>
      <w:r>
        <w:rPr>
          <w:sz w:val="28"/>
          <w:szCs w:val="28"/>
        </w:rPr>
        <w:t xml:space="preserve"> или компенсацию</w:t>
      </w:r>
      <w:r w:rsidR="008145EF">
        <w:rPr>
          <w:sz w:val="28"/>
          <w:szCs w:val="28"/>
        </w:rPr>
        <w:t>;</w:t>
      </w:r>
      <w:r w:rsidR="00AA1693" w:rsidRPr="00C21002">
        <w:rPr>
          <w:sz w:val="28"/>
          <w:szCs w:val="28"/>
        </w:rPr>
        <w:t xml:space="preserve"> надбавки </w:t>
      </w:r>
      <w:r w:rsidR="00357B06" w:rsidRPr="00C21002">
        <w:rPr>
          <w:sz w:val="28"/>
          <w:szCs w:val="28"/>
        </w:rPr>
        <w:t xml:space="preserve">«за вредность» </w:t>
      </w:r>
      <w:r w:rsidR="00AA1693" w:rsidRPr="00C21002">
        <w:rPr>
          <w:sz w:val="28"/>
          <w:szCs w:val="28"/>
        </w:rPr>
        <w:t xml:space="preserve">получают </w:t>
      </w:r>
      <w:r w:rsidR="00090B77">
        <w:rPr>
          <w:sz w:val="28"/>
          <w:szCs w:val="28"/>
        </w:rPr>
        <w:t>510</w:t>
      </w:r>
      <w:r w:rsidR="00AA1693" w:rsidRPr="00C21002">
        <w:rPr>
          <w:sz w:val="28"/>
          <w:szCs w:val="28"/>
        </w:rPr>
        <w:t xml:space="preserve"> чел</w:t>
      </w:r>
      <w:r w:rsidR="00AA1693" w:rsidRPr="00C21002">
        <w:rPr>
          <w:sz w:val="28"/>
          <w:szCs w:val="28"/>
        </w:rPr>
        <w:t>о</w:t>
      </w:r>
      <w:r w:rsidR="00AA1693" w:rsidRPr="00C21002">
        <w:rPr>
          <w:sz w:val="28"/>
          <w:szCs w:val="28"/>
        </w:rPr>
        <w:t>век</w:t>
      </w:r>
      <w:r w:rsidR="00090B77">
        <w:rPr>
          <w:sz w:val="28"/>
          <w:szCs w:val="28"/>
        </w:rPr>
        <w:t xml:space="preserve"> (на 30% меньше)</w:t>
      </w:r>
      <w:r w:rsidR="00AA1693" w:rsidRPr="00C21002">
        <w:rPr>
          <w:sz w:val="28"/>
          <w:szCs w:val="28"/>
        </w:rPr>
        <w:t>.</w:t>
      </w:r>
      <w:r w:rsidR="00212965">
        <w:rPr>
          <w:sz w:val="28"/>
          <w:szCs w:val="28"/>
        </w:rPr>
        <w:t xml:space="preserve"> Аттестовано </w:t>
      </w:r>
      <w:r w:rsidR="00090B77">
        <w:rPr>
          <w:sz w:val="28"/>
          <w:szCs w:val="28"/>
        </w:rPr>
        <w:t>207</w:t>
      </w:r>
      <w:r w:rsidR="00212965">
        <w:rPr>
          <w:sz w:val="28"/>
          <w:szCs w:val="28"/>
        </w:rPr>
        <w:t xml:space="preserve"> рабочих места, на </w:t>
      </w:r>
      <w:r w:rsidR="00090B77">
        <w:rPr>
          <w:sz w:val="28"/>
          <w:szCs w:val="28"/>
        </w:rPr>
        <w:t>114</w:t>
      </w:r>
      <w:r w:rsidR="00212965">
        <w:rPr>
          <w:sz w:val="28"/>
          <w:szCs w:val="28"/>
        </w:rPr>
        <w:t xml:space="preserve"> – обнаружены вредные факторы.</w:t>
      </w:r>
    </w:p>
    <w:p w:rsidR="002934BC" w:rsidRDefault="002934BC" w:rsidP="00C77617">
      <w:pPr>
        <w:ind w:firstLine="540"/>
        <w:jc w:val="both"/>
        <w:rPr>
          <w:sz w:val="28"/>
          <w:szCs w:val="28"/>
        </w:rPr>
      </w:pPr>
    </w:p>
    <w:p w:rsidR="002934BC" w:rsidRPr="00BD6E7F" w:rsidRDefault="002934BC" w:rsidP="002934B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1</w:t>
      </w:r>
    </w:p>
    <w:p w:rsidR="00C1160A" w:rsidRPr="00616EEE" w:rsidRDefault="00090B77" w:rsidP="00C776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Впервые за многие годы было заключено Соглашение по охране труда как приложение к КД. Из 27 запланированных мероприятий было выполнено 12, частично выполнено 5, не выполнено – 10. При заключении Соглашения на 2013 год необходимо учитывать выполнимость этих задач.</w:t>
      </w:r>
    </w:p>
    <w:p w:rsidR="00BC13F0" w:rsidRDefault="00BC13F0" w:rsidP="00C77617">
      <w:pPr>
        <w:ind w:firstLine="540"/>
        <w:jc w:val="both"/>
        <w:rPr>
          <w:color w:val="808080"/>
          <w:sz w:val="28"/>
          <w:szCs w:val="28"/>
        </w:rPr>
      </w:pPr>
    </w:p>
    <w:p w:rsidR="00A731BF" w:rsidRPr="00BD6E7F" w:rsidRDefault="00A731BF" w:rsidP="00A731B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2</w:t>
      </w:r>
    </w:p>
    <w:p w:rsidR="00BC13F0" w:rsidRDefault="00BC13F0" w:rsidP="00BC13F0">
      <w:pPr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Pr="006542B5">
        <w:rPr>
          <w:b/>
          <w:i/>
          <w:sz w:val="28"/>
          <w:szCs w:val="28"/>
        </w:rPr>
        <w:t>Социальные гарантии</w:t>
      </w:r>
    </w:p>
    <w:p w:rsidR="00186695" w:rsidRPr="00BD6E7F" w:rsidRDefault="00186695" w:rsidP="00186695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A731BF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3</w:t>
      </w:r>
    </w:p>
    <w:p w:rsidR="00BC13F0" w:rsidRPr="00FE55D0" w:rsidRDefault="00BC13F0" w:rsidP="00BC13F0">
      <w:pPr>
        <w:ind w:firstLine="540"/>
        <w:jc w:val="both"/>
        <w:rPr>
          <w:sz w:val="28"/>
          <w:szCs w:val="28"/>
        </w:rPr>
      </w:pPr>
      <w:r w:rsidRPr="00FE55D0">
        <w:rPr>
          <w:sz w:val="28"/>
          <w:szCs w:val="28"/>
        </w:rPr>
        <w:t>В 201</w:t>
      </w:r>
      <w:r w:rsidR="002934BC">
        <w:rPr>
          <w:sz w:val="28"/>
          <w:szCs w:val="28"/>
        </w:rPr>
        <w:t>2</w:t>
      </w:r>
      <w:r w:rsidRPr="00FE55D0">
        <w:rPr>
          <w:sz w:val="28"/>
          <w:szCs w:val="28"/>
        </w:rPr>
        <w:t xml:space="preserve"> году в УдГУ проводился ряд социальных программ:</w:t>
      </w:r>
    </w:p>
    <w:p w:rsidR="00BC13F0" w:rsidRPr="00FE55D0" w:rsidRDefault="00BC13F0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>частичная компенсация санаторно-курортных путевок для рабо</w:t>
      </w:r>
      <w:r w:rsidRPr="00FE55D0">
        <w:rPr>
          <w:sz w:val="28"/>
          <w:szCs w:val="28"/>
        </w:rPr>
        <w:t>т</w:t>
      </w:r>
      <w:r w:rsidRPr="00FE55D0">
        <w:rPr>
          <w:sz w:val="28"/>
          <w:szCs w:val="28"/>
        </w:rPr>
        <w:t>ников (</w:t>
      </w:r>
      <w:r w:rsidR="00825298">
        <w:rPr>
          <w:sz w:val="28"/>
          <w:szCs w:val="28"/>
        </w:rPr>
        <w:t>294</w:t>
      </w:r>
      <w:r w:rsidRPr="00FE55D0">
        <w:rPr>
          <w:sz w:val="28"/>
          <w:szCs w:val="28"/>
        </w:rPr>
        <w:t xml:space="preserve"> тыс. рублей, </w:t>
      </w:r>
      <w:r w:rsidR="00825298">
        <w:rPr>
          <w:sz w:val="28"/>
          <w:szCs w:val="28"/>
        </w:rPr>
        <w:t>80</w:t>
      </w:r>
      <w:r w:rsidRPr="00FE55D0">
        <w:rPr>
          <w:sz w:val="28"/>
          <w:szCs w:val="28"/>
        </w:rPr>
        <w:t xml:space="preserve"> человек – УдГУ; </w:t>
      </w:r>
      <w:r w:rsidR="00A8131F" w:rsidRPr="00A8131F">
        <w:rPr>
          <w:sz w:val="28"/>
          <w:szCs w:val="28"/>
        </w:rPr>
        <w:t>97</w:t>
      </w:r>
      <w:r w:rsidRPr="00FE55D0">
        <w:rPr>
          <w:sz w:val="28"/>
          <w:szCs w:val="28"/>
        </w:rPr>
        <w:t xml:space="preserve"> тыс. рублей, </w:t>
      </w:r>
      <w:r w:rsidR="00A8131F" w:rsidRPr="00A8131F">
        <w:rPr>
          <w:sz w:val="28"/>
          <w:szCs w:val="28"/>
        </w:rPr>
        <w:t>31</w:t>
      </w:r>
      <w:r w:rsidRPr="00FE55D0">
        <w:rPr>
          <w:sz w:val="28"/>
          <w:szCs w:val="28"/>
        </w:rPr>
        <w:t xml:space="preserve"> чел – профком)</w:t>
      </w:r>
    </w:p>
    <w:p w:rsidR="00186695" w:rsidRPr="00FE55D0" w:rsidRDefault="00186695" w:rsidP="00186695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>действуют спортивные группы волейбола, плавания, аэробики (</w:t>
      </w:r>
      <w:r>
        <w:rPr>
          <w:sz w:val="28"/>
          <w:szCs w:val="28"/>
        </w:rPr>
        <w:t xml:space="preserve">более </w:t>
      </w:r>
      <w:r w:rsidRPr="00FE55D0">
        <w:rPr>
          <w:sz w:val="28"/>
          <w:szCs w:val="28"/>
        </w:rPr>
        <w:t>300 чел)</w:t>
      </w:r>
    </w:p>
    <w:p w:rsidR="00252B28" w:rsidRPr="00FE55D0" w:rsidRDefault="00252B28" w:rsidP="00252B28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E55D0">
        <w:rPr>
          <w:sz w:val="28"/>
          <w:szCs w:val="28"/>
        </w:rPr>
        <w:t>здоровительные процедуры «Горный воздух» (</w:t>
      </w:r>
      <w:r w:rsidR="00825298">
        <w:rPr>
          <w:sz w:val="28"/>
          <w:szCs w:val="28"/>
        </w:rPr>
        <w:t>80</w:t>
      </w:r>
      <w:r w:rsidRPr="00FE55D0">
        <w:rPr>
          <w:sz w:val="28"/>
          <w:szCs w:val="28"/>
        </w:rPr>
        <w:t xml:space="preserve"> человек)</w:t>
      </w:r>
    </w:p>
    <w:p w:rsidR="00252B28" w:rsidRPr="00FE55D0" w:rsidRDefault="00252B28" w:rsidP="00252B28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>большая работа с ветеранами УдГУ;</w:t>
      </w:r>
    </w:p>
    <w:p w:rsidR="00252B28" w:rsidRDefault="00252B28" w:rsidP="00252B28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>по программе беспроцентных займов профком выдал займы 1</w:t>
      </w:r>
      <w:r w:rsidR="00825298">
        <w:rPr>
          <w:sz w:val="28"/>
          <w:szCs w:val="28"/>
        </w:rPr>
        <w:t>5</w:t>
      </w:r>
      <w:r w:rsidRPr="00FE55D0">
        <w:rPr>
          <w:sz w:val="28"/>
          <w:szCs w:val="28"/>
        </w:rPr>
        <w:t>1 член</w:t>
      </w:r>
      <w:r>
        <w:rPr>
          <w:sz w:val="28"/>
          <w:szCs w:val="28"/>
        </w:rPr>
        <w:t>у</w:t>
      </w:r>
      <w:r w:rsidRPr="00FE55D0">
        <w:rPr>
          <w:sz w:val="28"/>
          <w:szCs w:val="28"/>
        </w:rPr>
        <w:t xml:space="preserve"> профсоюза на общую сумму более 2 </w:t>
      </w:r>
      <w:r w:rsidR="00825298">
        <w:rPr>
          <w:sz w:val="28"/>
          <w:szCs w:val="28"/>
        </w:rPr>
        <w:t>712</w:t>
      </w:r>
      <w:r w:rsidRPr="00FE55D0">
        <w:rPr>
          <w:sz w:val="28"/>
          <w:szCs w:val="28"/>
        </w:rPr>
        <w:t xml:space="preserve"> тыс. рублей.</w:t>
      </w:r>
    </w:p>
    <w:p w:rsidR="00BC13F0" w:rsidRPr="00FE55D0" w:rsidRDefault="00BC13F0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>новогодние подарки (</w:t>
      </w:r>
      <w:r w:rsidR="00825298">
        <w:rPr>
          <w:sz w:val="28"/>
          <w:szCs w:val="28"/>
        </w:rPr>
        <w:t>1378</w:t>
      </w:r>
      <w:r w:rsidRPr="00FE55D0">
        <w:rPr>
          <w:sz w:val="28"/>
          <w:szCs w:val="28"/>
        </w:rPr>
        <w:t xml:space="preserve"> шт., </w:t>
      </w:r>
      <w:r w:rsidR="00E179FC" w:rsidRPr="00FE55D0">
        <w:rPr>
          <w:sz w:val="28"/>
          <w:szCs w:val="28"/>
        </w:rPr>
        <w:t>3</w:t>
      </w:r>
      <w:r w:rsidR="00825298">
        <w:rPr>
          <w:sz w:val="28"/>
          <w:szCs w:val="28"/>
        </w:rPr>
        <w:t>45 тыс.</w:t>
      </w:r>
      <w:r w:rsidRPr="00FE55D0">
        <w:rPr>
          <w:sz w:val="28"/>
          <w:szCs w:val="28"/>
        </w:rPr>
        <w:t xml:space="preserve"> руб.)</w:t>
      </w:r>
    </w:p>
    <w:p w:rsidR="00D405DE" w:rsidRPr="00FE55D0" w:rsidRDefault="00D405DE" w:rsidP="00D405DE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 xml:space="preserve">билеты в театры, </w:t>
      </w:r>
      <w:r w:rsidR="00E179FC" w:rsidRPr="00FE55D0">
        <w:rPr>
          <w:sz w:val="28"/>
          <w:szCs w:val="28"/>
        </w:rPr>
        <w:t xml:space="preserve">на </w:t>
      </w:r>
      <w:r w:rsidRPr="00FE55D0">
        <w:rPr>
          <w:sz w:val="28"/>
          <w:szCs w:val="28"/>
        </w:rPr>
        <w:t>концерты (</w:t>
      </w:r>
      <w:r w:rsidR="00A8131F" w:rsidRPr="00A8131F">
        <w:rPr>
          <w:sz w:val="28"/>
          <w:szCs w:val="28"/>
        </w:rPr>
        <w:t xml:space="preserve">1977 </w:t>
      </w:r>
      <w:r w:rsidRPr="00FE55D0">
        <w:rPr>
          <w:sz w:val="28"/>
          <w:szCs w:val="28"/>
        </w:rPr>
        <w:t>шт.</w:t>
      </w:r>
      <w:r w:rsidR="00E179FC" w:rsidRPr="00FE55D0">
        <w:rPr>
          <w:sz w:val="28"/>
          <w:szCs w:val="28"/>
        </w:rPr>
        <w:t xml:space="preserve"> – УдГУ, </w:t>
      </w:r>
      <w:r w:rsidR="00A8131F" w:rsidRPr="00A8131F">
        <w:rPr>
          <w:sz w:val="28"/>
          <w:szCs w:val="28"/>
        </w:rPr>
        <w:t>489</w:t>
      </w:r>
      <w:r w:rsidR="00E179FC" w:rsidRPr="00FE55D0">
        <w:rPr>
          <w:sz w:val="28"/>
          <w:szCs w:val="28"/>
        </w:rPr>
        <w:t xml:space="preserve"> - профком</w:t>
      </w:r>
      <w:r w:rsidRPr="00FE55D0">
        <w:rPr>
          <w:sz w:val="28"/>
          <w:szCs w:val="28"/>
        </w:rPr>
        <w:t>)</w:t>
      </w:r>
    </w:p>
    <w:p w:rsidR="00BC13F0" w:rsidRPr="00FE55D0" w:rsidRDefault="00E179FC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825298">
        <w:rPr>
          <w:sz w:val="28"/>
          <w:szCs w:val="28"/>
        </w:rPr>
        <w:t>экскурсии (</w:t>
      </w:r>
      <w:r w:rsidRPr="00FE55D0">
        <w:rPr>
          <w:sz w:val="28"/>
          <w:szCs w:val="28"/>
        </w:rPr>
        <w:t>4</w:t>
      </w:r>
      <w:r w:rsidR="00A731BF">
        <w:rPr>
          <w:sz w:val="28"/>
          <w:szCs w:val="28"/>
        </w:rPr>
        <w:t>3</w:t>
      </w:r>
      <w:r w:rsidRPr="00FE55D0">
        <w:rPr>
          <w:sz w:val="28"/>
          <w:szCs w:val="28"/>
        </w:rPr>
        <w:t xml:space="preserve"> чел.</w:t>
      </w:r>
      <w:r w:rsidRPr="00825298">
        <w:rPr>
          <w:sz w:val="28"/>
          <w:szCs w:val="28"/>
        </w:rPr>
        <w:t>)</w:t>
      </w:r>
      <w:r w:rsidRPr="00FE55D0">
        <w:rPr>
          <w:sz w:val="28"/>
          <w:szCs w:val="28"/>
        </w:rPr>
        <w:t>;</w:t>
      </w:r>
    </w:p>
    <w:p w:rsidR="00BC13F0" w:rsidRPr="00FE55D0" w:rsidRDefault="00BC13F0" w:rsidP="00BC13F0">
      <w:pPr>
        <w:numPr>
          <w:ilvl w:val="0"/>
          <w:numId w:val="18"/>
        </w:numPr>
        <w:jc w:val="both"/>
        <w:rPr>
          <w:sz w:val="28"/>
          <w:szCs w:val="28"/>
        </w:rPr>
      </w:pPr>
      <w:r w:rsidRPr="00FE55D0">
        <w:rPr>
          <w:sz w:val="28"/>
          <w:szCs w:val="28"/>
        </w:rPr>
        <w:t>ряд спортивных и культурно-массовых мероприятий</w:t>
      </w:r>
      <w:r w:rsidR="00A731BF">
        <w:rPr>
          <w:sz w:val="28"/>
          <w:szCs w:val="28"/>
        </w:rPr>
        <w:t>, впервые – Спартакиада «Здоровье-2012»</w:t>
      </w:r>
      <w:r w:rsidRPr="00FE55D0">
        <w:rPr>
          <w:sz w:val="28"/>
          <w:szCs w:val="28"/>
        </w:rPr>
        <w:t>;</w:t>
      </w:r>
    </w:p>
    <w:p w:rsidR="00BC13F0" w:rsidRPr="00FE55D0" w:rsidRDefault="00BC13F0" w:rsidP="00BC13F0">
      <w:pPr>
        <w:ind w:firstLine="540"/>
        <w:jc w:val="both"/>
        <w:rPr>
          <w:sz w:val="28"/>
          <w:szCs w:val="28"/>
        </w:rPr>
      </w:pPr>
    </w:p>
    <w:p w:rsidR="00D405DE" w:rsidRPr="00BD6E7F" w:rsidRDefault="00D405DE" w:rsidP="00D405D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8C778F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4</w:t>
      </w:r>
    </w:p>
    <w:p w:rsidR="00D405DE" w:rsidRPr="00FE55D0" w:rsidRDefault="00D405DE" w:rsidP="00BC13F0">
      <w:pPr>
        <w:ind w:firstLine="540"/>
        <w:jc w:val="both"/>
        <w:rPr>
          <w:sz w:val="28"/>
          <w:szCs w:val="28"/>
        </w:rPr>
      </w:pPr>
      <w:r w:rsidRPr="00FE55D0">
        <w:rPr>
          <w:sz w:val="28"/>
          <w:szCs w:val="28"/>
        </w:rPr>
        <w:t>По КД на культурно- и спортивно-массовую работу с работниками должно быть выделено не менее 0,1% от ФОТ</w:t>
      </w:r>
      <w:r w:rsidR="00216AF1" w:rsidRPr="00FE55D0">
        <w:rPr>
          <w:sz w:val="28"/>
          <w:szCs w:val="28"/>
        </w:rPr>
        <w:t xml:space="preserve"> (</w:t>
      </w:r>
      <w:r w:rsidR="00A731BF">
        <w:rPr>
          <w:sz w:val="28"/>
          <w:szCs w:val="28"/>
        </w:rPr>
        <w:t>503</w:t>
      </w:r>
      <w:r w:rsidR="00216AF1" w:rsidRPr="00FE55D0">
        <w:rPr>
          <w:sz w:val="28"/>
          <w:szCs w:val="28"/>
        </w:rPr>
        <w:t xml:space="preserve"> тыс. руб.)</w:t>
      </w:r>
      <w:r w:rsidRPr="00FE55D0">
        <w:rPr>
          <w:sz w:val="28"/>
          <w:szCs w:val="28"/>
        </w:rPr>
        <w:t>, по факту – 0,1</w:t>
      </w:r>
      <w:r w:rsidR="00A731BF">
        <w:rPr>
          <w:sz w:val="28"/>
          <w:szCs w:val="28"/>
        </w:rPr>
        <w:t>3</w:t>
      </w:r>
      <w:r w:rsidR="00A8131F" w:rsidRPr="00A8131F">
        <w:rPr>
          <w:sz w:val="28"/>
          <w:szCs w:val="28"/>
        </w:rPr>
        <w:t>5</w:t>
      </w:r>
      <w:r w:rsidRPr="00FE55D0">
        <w:rPr>
          <w:sz w:val="28"/>
          <w:szCs w:val="28"/>
        </w:rPr>
        <w:t>%</w:t>
      </w:r>
      <w:r w:rsidR="00216AF1" w:rsidRPr="00FE55D0">
        <w:rPr>
          <w:sz w:val="28"/>
          <w:szCs w:val="28"/>
        </w:rPr>
        <w:t xml:space="preserve"> (</w:t>
      </w:r>
      <w:r w:rsidR="00A8131F" w:rsidRPr="00A8131F">
        <w:rPr>
          <w:sz w:val="28"/>
          <w:szCs w:val="28"/>
        </w:rPr>
        <w:t>679</w:t>
      </w:r>
      <w:r w:rsidR="00216AF1" w:rsidRPr="00FE55D0">
        <w:rPr>
          <w:sz w:val="28"/>
          <w:szCs w:val="28"/>
        </w:rPr>
        <w:t xml:space="preserve"> т.р.)</w:t>
      </w:r>
      <w:r w:rsidRPr="00FE55D0">
        <w:rPr>
          <w:sz w:val="28"/>
          <w:szCs w:val="28"/>
        </w:rPr>
        <w:t>. Обязательство выполнено.</w:t>
      </w:r>
    </w:p>
    <w:p w:rsidR="00A32FBE" w:rsidRDefault="00A32FBE" w:rsidP="006A64E8">
      <w:pPr>
        <w:ind w:firstLine="540"/>
        <w:jc w:val="both"/>
        <w:rPr>
          <w:color w:val="808080"/>
          <w:sz w:val="28"/>
          <w:szCs w:val="28"/>
        </w:rPr>
      </w:pPr>
    </w:p>
    <w:p w:rsidR="008C778F" w:rsidRPr="00CA6F33" w:rsidRDefault="008C778F" w:rsidP="008C778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Pr="00BD6E7F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5</w:t>
      </w:r>
    </w:p>
    <w:p w:rsidR="006542B5" w:rsidRPr="005D3317" w:rsidRDefault="00BC13F0" w:rsidP="006542B5">
      <w:pPr>
        <w:ind w:firstLine="540"/>
        <w:jc w:val="both"/>
        <w:rPr>
          <w:b/>
          <w:i/>
          <w:sz w:val="28"/>
          <w:szCs w:val="28"/>
        </w:rPr>
      </w:pPr>
      <w:r w:rsidRPr="00D405DE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</w:t>
      </w:r>
      <w:r w:rsidRPr="00D405DE">
        <w:rPr>
          <w:b/>
          <w:i/>
          <w:sz w:val="28"/>
          <w:szCs w:val="28"/>
        </w:rPr>
        <w:t xml:space="preserve"> </w:t>
      </w:r>
      <w:r w:rsidR="006542B5">
        <w:rPr>
          <w:b/>
          <w:i/>
          <w:sz w:val="28"/>
          <w:szCs w:val="28"/>
        </w:rPr>
        <w:t>Повышение квалификации</w:t>
      </w:r>
    </w:p>
    <w:p w:rsidR="00472606" w:rsidRPr="00CA6F33" w:rsidRDefault="00472606" w:rsidP="0047260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06746E" w:rsidRPr="00BD6E7F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6</w:t>
      </w:r>
    </w:p>
    <w:p w:rsidR="006542B5" w:rsidRPr="0034298D" w:rsidRDefault="0034298D" w:rsidP="006A64E8">
      <w:pPr>
        <w:ind w:firstLine="540"/>
        <w:jc w:val="both"/>
        <w:rPr>
          <w:color w:val="000000" w:themeColor="text1"/>
          <w:sz w:val="28"/>
          <w:szCs w:val="28"/>
        </w:rPr>
      </w:pPr>
      <w:r w:rsidRPr="0034298D">
        <w:rPr>
          <w:color w:val="000000" w:themeColor="text1"/>
          <w:sz w:val="28"/>
          <w:szCs w:val="28"/>
        </w:rPr>
        <w:lastRenderedPageBreak/>
        <w:t>В 2010 году повыс</w:t>
      </w:r>
      <w:r>
        <w:rPr>
          <w:color w:val="000000" w:themeColor="text1"/>
          <w:sz w:val="28"/>
          <w:szCs w:val="28"/>
        </w:rPr>
        <w:t>и</w:t>
      </w:r>
      <w:r w:rsidRPr="0034298D">
        <w:rPr>
          <w:color w:val="000000" w:themeColor="text1"/>
          <w:sz w:val="28"/>
          <w:szCs w:val="28"/>
        </w:rPr>
        <w:t>ли квалификац</w:t>
      </w:r>
      <w:r>
        <w:rPr>
          <w:color w:val="000000" w:themeColor="text1"/>
          <w:sz w:val="28"/>
          <w:szCs w:val="28"/>
        </w:rPr>
        <w:t>и</w:t>
      </w:r>
      <w:r w:rsidRPr="0034298D">
        <w:rPr>
          <w:color w:val="000000" w:themeColor="text1"/>
          <w:sz w:val="28"/>
          <w:szCs w:val="28"/>
        </w:rPr>
        <w:t xml:space="preserve">ю </w:t>
      </w:r>
      <w:r>
        <w:rPr>
          <w:color w:val="000000" w:themeColor="text1"/>
          <w:sz w:val="28"/>
          <w:szCs w:val="28"/>
        </w:rPr>
        <w:t xml:space="preserve">213 преподавателей, в 2011 </w:t>
      </w:r>
      <w:r w:rsidR="006E720B" w:rsidRPr="0034298D">
        <w:rPr>
          <w:color w:val="000000" w:themeColor="text1"/>
          <w:sz w:val="28"/>
          <w:szCs w:val="28"/>
        </w:rPr>
        <w:t>– 2</w:t>
      </w:r>
      <w:r w:rsidR="00FE55D0" w:rsidRPr="0034298D">
        <w:rPr>
          <w:color w:val="000000" w:themeColor="text1"/>
          <w:sz w:val="28"/>
          <w:szCs w:val="28"/>
        </w:rPr>
        <w:t>56</w:t>
      </w:r>
      <w:r w:rsidR="006E720B" w:rsidRPr="0034298D">
        <w:rPr>
          <w:color w:val="000000" w:themeColor="text1"/>
          <w:sz w:val="28"/>
          <w:szCs w:val="28"/>
        </w:rPr>
        <w:t xml:space="preserve"> </w:t>
      </w:r>
      <w:r w:rsidR="00FA4F33" w:rsidRPr="0034298D">
        <w:rPr>
          <w:color w:val="000000" w:themeColor="text1"/>
          <w:sz w:val="28"/>
          <w:szCs w:val="28"/>
        </w:rPr>
        <w:t>(2</w:t>
      </w:r>
      <w:r w:rsidR="00FE55D0" w:rsidRPr="0034298D">
        <w:rPr>
          <w:color w:val="000000" w:themeColor="text1"/>
          <w:sz w:val="28"/>
          <w:szCs w:val="28"/>
        </w:rPr>
        <w:t>4</w:t>
      </w:r>
      <w:r w:rsidR="00FA4F33" w:rsidRPr="0034298D">
        <w:rPr>
          <w:color w:val="000000" w:themeColor="text1"/>
          <w:sz w:val="28"/>
          <w:szCs w:val="28"/>
        </w:rPr>
        <w:t>% от ППС)</w:t>
      </w:r>
      <w:r w:rsidR="006E720B" w:rsidRPr="0034298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14670B" w:rsidRPr="0014670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2012 год</w:t>
      </w:r>
      <w:r w:rsidR="0014670B">
        <w:rPr>
          <w:color w:val="000000" w:themeColor="text1"/>
          <w:sz w:val="28"/>
          <w:szCs w:val="28"/>
        </w:rPr>
        <w:t>у повысили квалификацию 307 работников, из них более 195 преподавателей, что превышает 20%</w:t>
      </w:r>
      <w:r>
        <w:rPr>
          <w:color w:val="000000" w:themeColor="text1"/>
          <w:sz w:val="28"/>
          <w:szCs w:val="28"/>
        </w:rPr>
        <w:t>.</w:t>
      </w:r>
    </w:p>
    <w:p w:rsidR="008C778F" w:rsidRPr="0034298D" w:rsidRDefault="008C778F" w:rsidP="006A64E8">
      <w:pPr>
        <w:ind w:firstLine="540"/>
        <w:jc w:val="both"/>
        <w:rPr>
          <w:color w:val="000000" w:themeColor="text1"/>
          <w:sz w:val="28"/>
          <w:szCs w:val="28"/>
        </w:rPr>
      </w:pPr>
    </w:p>
    <w:p w:rsidR="006729A4" w:rsidRPr="00BD6E7F" w:rsidRDefault="006729A4" w:rsidP="006729A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8C778F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7</w:t>
      </w:r>
    </w:p>
    <w:p w:rsidR="00FA4F33" w:rsidRDefault="005B0133" w:rsidP="006A64E8">
      <w:pPr>
        <w:ind w:firstLine="540"/>
        <w:jc w:val="both"/>
        <w:rPr>
          <w:sz w:val="28"/>
          <w:szCs w:val="28"/>
        </w:rPr>
      </w:pPr>
      <w:r w:rsidRPr="00AE10C5">
        <w:rPr>
          <w:sz w:val="28"/>
          <w:szCs w:val="28"/>
        </w:rPr>
        <w:t>По ст. 8.1</w:t>
      </w:r>
      <w:r w:rsidR="00AE10C5" w:rsidRPr="00AE10C5">
        <w:rPr>
          <w:sz w:val="28"/>
          <w:szCs w:val="28"/>
        </w:rPr>
        <w:t xml:space="preserve"> КД</w:t>
      </w:r>
      <w:r w:rsidRPr="00AE10C5">
        <w:rPr>
          <w:sz w:val="28"/>
          <w:szCs w:val="28"/>
        </w:rPr>
        <w:t xml:space="preserve"> </w:t>
      </w:r>
      <w:r w:rsidR="008C778F">
        <w:rPr>
          <w:sz w:val="28"/>
          <w:szCs w:val="28"/>
        </w:rPr>
        <w:t>13</w:t>
      </w:r>
      <w:r w:rsidR="00FA4F33" w:rsidRPr="00AE10C5">
        <w:rPr>
          <w:sz w:val="28"/>
          <w:szCs w:val="28"/>
        </w:rPr>
        <w:t xml:space="preserve"> работников воспользовались льготой по оплате за свое обучение в УдГУ, </w:t>
      </w:r>
      <w:r w:rsidR="008C778F">
        <w:rPr>
          <w:sz w:val="28"/>
          <w:szCs w:val="28"/>
        </w:rPr>
        <w:t>45</w:t>
      </w:r>
      <w:r w:rsidR="00FA4F33" w:rsidRPr="00AE10C5">
        <w:rPr>
          <w:sz w:val="28"/>
          <w:szCs w:val="28"/>
        </w:rPr>
        <w:t xml:space="preserve"> работников – за обучение своих детей (от 15% до 50%) на общую сумму </w:t>
      </w:r>
      <w:r w:rsidR="008C778F">
        <w:rPr>
          <w:sz w:val="28"/>
          <w:szCs w:val="28"/>
        </w:rPr>
        <w:t>430</w:t>
      </w:r>
      <w:r w:rsidR="00AE10C5" w:rsidRPr="00AE10C5">
        <w:rPr>
          <w:sz w:val="28"/>
          <w:szCs w:val="28"/>
        </w:rPr>
        <w:t> </w:t>
      </w:r>
      <w:r w:rsidR="008C778F">
        <w:rPr>
          <w:sz w:val="28"/>
          <w:szCs w:val="28"/>
        </w:rPr>
        <w:t>588</w:t>
      </w:r>
      <w:r w:rsidR="00AE10C5" w:rsidRPr="00AE10C5">
        <w:rPr>
          <w:sz w:val="28"/>
          <w:szCs w:val="28"/>
        </w:rPr>
        <w:t xml:space="preserve"> руб.</w:t>
      </w:r>
    </w:p>
    <w:p w:rsidR="008C778F" w:rsidRDefault="008C778F" w:rsidP="006A64E8">
      <w:pPr>
        <w:ind w:firstLine="540"/>
        <w:jc w:val="both"/>
        <w:rPr>
          <w:sz w:val="28"/>
          <w:szCs w:val="28"/>
        </w:rPr>
      </w:pPr>
    </w:p>
    <w:p w:rsidR="008C778F" w:rsidRPr="00BD6E7F" w:rsidRDefault="008C778F" w:rsidP="008C778F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8</w:t>
      </w:r>
    </w:p>
    <w:p w:rsidR="00D961B9" w:rsidRPr="008B228F" w:rsidRDefault="00D35661" w:rsidP="00D961B9">
      <w:pPr>
        <w:ind w:firstLine="540"/>
        <w:jc w:val="both"/>
        <w:rPr>
          <w:b/>
          <w:i/>
          <w:sz w:val="28"/>
          <w:szCs w:val="28"/>
        </w:rPr>
      </w:pPr>
      <w:r w:rsidRPr="008B228F">
        <w:rPr>
          <w:b/>
          <w:i/>
          <w:sz w:val="28"/>
          <w:szCs w:val="28"/>
        </w:rPr>
        <w:t xml:space="preserve">9. </w:t>
      </w:r>
      <w:r w:rsidR="00D961B9" w:rsidRPr="008B228F">
        <w:rPr>
          <w:b/>
          <w:i/>
          <w:sz w:val="28"/>
          <w:szCs w:val="28"/>
        </w:rPr>
        <w:t xml:space="preserve">Взаимодействие </w:t>
      </w:r>
      <w:r w:rsidR="00CB439A" w:rsidRPr="008B228F">
        <w:rPr>
          <w:b/>
          <w:i/>
          <w:sz w:val="28"/>
          <w:szCs w:val="28"/>
        </w:rPr>
        <w:t>с</w:t>
      </w:r>
      <w:r w:rsidR="00D961B9" w:rsidRPr="008B228F">
        <w:rPr>
          <w:b/>
          <w:i/>
          <w:sz w:val="28"/>
          <w:szCs w:val="28"/>
        </w:rPr>
        <w:t xml:space="preserve"> профсоюзом</w:t>
      </w:r>
    </w:p>
    <w:p w:rsidR="003A0B86" w:rsidRPr="00BD6E7F" w:rsidRDefault="003A0B86" w:rsidP="003A0B8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8C778F">
        <w:rPr>
          <w:rFonts w:ascii="Arial" w:hAnsi="Arial" w:cs="Arial"/>
          <w:sz w:val="28"/>
          <w:szCs w:val="28"/>
          <w:bdr w:val="single" w:sz="4" w:space="0" w:color="auto"/>
        </w:rPr>
        <w:t>3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9</w:t>
      </w:r>
    </w:p>
    <w:p w:rsidR="00960ADC" w:rsidRDefault="005D3317" w:rsidP="006A64E8">
      <w:pPr>
        <w:ind w:firstLine="540"/>
        <w:jc w:val="both"/>
        <w:rPr>
          <w:sz w:val="28"/>
          <w:szCs w:val="28"/>
        </w:rPr>
      </w:pPr>
      <w:r w:rsidRPr="00237CB1">
        <w:rPr>
          <w:sz w:val="28"/>
          <w:szCs w:val="28"/>
        </w:rPr>
        <w:t>В целом раздел выполняется. Работники через профсоюзные органы принимают участие в управлении</w:t>
      </w:r>
      <w:r w:rsidR="00D46739" w:rsidRPr="00237CB1">
        <w:rPr>
          <w:sz w:val="28"/>
          <w:szCs w:val="28"/>
        </w:rPr>
        <w:t>, профком представлен в ряде комиссий и рабочих групп</w:t>
      </w:r>
      <w:r w:rsidRPr="00237CB1">
        <w:rPr>
          <w:sz w:val="28"/>
          <w:szCs w:val="28"/>
        </w:rPr>
        <w:t>.</w:t>
      </w:r>
    </w:p>
    <w:p w:rsidR="00D46739" w:rsidRDefault="00237CB1" w:rsidP="006A64E8">
      <w:pPr>
        <w:ind w:firstLine="540"/>
        <w:jc w:val="both"/>
        <w:rPr>
          <w:sz w:val="28"/>
          <w:szCs w:val="28"/>
        </w:rPr>
      </w:pPr>
      <w:r w:rsidRPr="00237CB1">
        <w:rPr>
          <w:sz w:val="28"/>
          <w:szCs w:val="28"/>
        </w:rPr>
        <w:t>Помещение профкома оснащается техникой, нам предоставляется тран</w:t>
      </w:r>
      <w:r w:rsidRPr="00237CB1">
        <w:rPr>
          <w:sz w:val="28"/>
          <w:szCs w:val="28"/>
        </w:rPr>
        <w:t>с</w:t>
      </w:r>
      <w:r w:rsidRPr="00237CB1">
        <w:rPr>
          <w:sz w:val="28"/>
          <w:szCs w:val="28"/>
        </w:rPr>
        <w:t>порт, печать материалов и др.</w:t>
      </w:r>
      <w:r>
        <w:rPr>
          <w:sz w:val="28"/>
          <w:szCs w:val="28"/>
        </w:rPr>
        <w:t xml:space="preserve"> Профсоюзные взносы в этом году перечисл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почти без задержек.</w:t>
      </w:r>
    </w:p>
    <w:p w:rsidR="00237CB1" w:rsidRDefault="00237CB1" w:rsidP="006A64E8">
      <w:pPr>
        <w:ind w:firstLine="540"/>
        <w:jc w:val="both"/>
        <w:rPr>
          <w:sz w:val="28"/>
          <w:szCs w:val="28"/>
        </w:rPr>
      </w:pPr>
    </w:p>
    <w:p w:rsidR="00960ADC" w:rsidRPr="00960ADC" w:rsidRDefault="00960ADC" w:rsidP="00960AD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40</w:t>
      </w:r>
    </w:p>
    <w:p w:rsidR="00D961B9" w:rsidRDefault="005509BF" w:rsidP="005509BF">
      <w:pPr>
        <w:jc w:val="both"/>
        <w:rPr>
          <w:b/>
          <w:i/>
          <w:sz w:val="28"/>
          <w:szCs w:val="28"/>
        </w:rPr>
      </w:pPr>
      <w:r w:rsidRPr="005509BF">
        <w:rPr>
          <w:b/>
          <w:i/>
          <w:sz w:val="28"/>
          <w:szCs w:val="28"/>
        </w:rPr>
        <w:t>Основные замечания по выполнению КД</w:t>
      </w:r>
    </w:p>
    <w:p w:rsidR="00611E16" w:rsidRPr="00E93268" w:rsidRDefault="00DC11DE" w:rsidP="00E93268">
      <w:pPr>
        <w:ind w:firstLine="540"/>
        <w:jc w:val="both"/>
        <w:rPr>
          <w:sz w:val="28"/>
          <w:szCs w:val="28"/>
        </w:rPr>
      </w:pPr>
      <w:r w:rsidRPr="00E93268">
        <w:rPr>
          <w:sz w:val="28"/>
          <w:szCs w:val="28"/>
        </w:rPr>
        <w:t>В целом положения и условия Коллективного договора выполняются.</w:t>
      </w:r>
      <w:r w:rsidR="00E93268">
        <w:rPr>
          <w:sz w:val="28"/>
          <w:szCs w:val="28"/>
        </w:rPr>
        <w:t xml:space="preserve"> </w:t>
      </w:r>
      <w:r w:rsidRPr="00E93268">
        <w:rPr>
          <w:sz w:val="28"/>
          <w:szCs w:val="28"/>
        </w:rPr>
        <w:t>В связи с изменениями законодательства и социально-экономической обст</w:t>
      </w:r>
      <w:r w:rsidRPr="00E93268">
        <w:rPr>
          <w:sz w:val="28"/>
          <w:szCs w:val="28"/>
        </w:rPr>
        <w:t>а</w:t>
      </w:r>
      <w:r w:rsidRPr="00E93268">
        <w:rPr>
          <w:sz w:val="28"/>
          <w:szCs w:val="28"/>
        </w:rPr>
        <w:t>новкой необходимо внести ряд изменений в его положения.</w:t>
      </w:r>
    </w:p>
    <w:p w:rsidR="00611E16" w:rsidRPr="00E93268" w:rsidRDefault="00DC11DE" w:rsidP="00E93268">
      <w:pPr>
        <w:ind w:firstLine="540"/>
        <w:jc w:val="both"/>
        <w:rPr>
          <w:sz w:val="28"/>
          <w:szCs w:val="28"/>
        </w:rPr>
      </w:pPr>
      <w:r w:rsidRPr="00E93268">
        <w:rPr>
          <w:sz w:val="28"/>
          <w:szCs w:val="28"/>
        </w:rPr>
        <w:t xml:space="preserve">Необходимо осуществлять оптимизацию структуры университета и ее штатного расписания планомерно и на основе социально-экономического обоснования с прогнозируемыми результатами. </w:t>
      </w:r>
    </w:p>
    <w:p w:rsidR="003A0B86" w:rsidRDefault="003A0B86" w:rsidP="003A0B86">
      <w:pPr>
        <w:ind w:firstLine="540"/>
        <w:jc w:val="both"/>
        <w:rPr>
          <w:rFonts w:ascii="Arial" w:hAnsi="Arial" w:cs="Arial"/>
          <w:sz w:val="28"/>
          <w:szCs w:val="28"/>
          <w:bdr w:val="single" w:sz="4" w:space="0" w:color="auto"/>
        </w:rPr>
      </w:pPr>
    </w:p>
    <w:p w:rsidR="003A0B86" w:rsidRPr="00BD6E7F" w:rsidRDefault="003A0B86" w:rsidP="003A0B86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E93268">
        <w:rPr>
          <w:rFonts w:ascii="Arial" w:hAnsi="Arial" w:cs="Arial"/>
          <w:sz w:val="28"/>
          <w:szCs w:val="28"/>
          <w:bdr w:val="single" w:sz="4" w:space="0" w:color="auto"/>
        </w:rPr>
        <w:t>4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1</w:t>
      </w:r>
    </w:p>
    <w:p w:rsidR="00532FF5" w:rsidRPr="005509BF" w:rsidRDefault="00532FF5" w:rsidP="00AB0F1F">
      <w:pPr>
        <w:ind w:firstLine="540"/>
        <w:jc w:val="both"/>
        <w:rPr>
          <w:sz w:val="28"/>
          <w:szCs w:val="28"/>
        </w:rPr>
      </w:pPr>
      <w:r w:rsidRPr="005509BF">
        <w:rPr>
          <w:sz w:val="28"/>
          <w:szCs w:val="28"/>
        </w:rPr>
        <w:t>Спасибо за внимание!</w:t>
      </w:r>
    </w:p>
    <w:p w:rsidR="003802F1" w:rsidRDefault="003802F1" w:rsidP="00053215">
      <w:pPr>
        <w:jc w:val="both"/>
        <w:rPr>
          <w:color w:val="808080"/>
          <w:sz w:val="28"/>
          <w:szCs w:val="28"/>
        </w:rPr>
      </w:pPr>
    </w:p>
    <w:p w:rsidR="00D7667D" w:rsidRPr="00BD6E7F" w:rsidRDefault="00D7667D" w:rsidP="00D7667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CA6F33">
        <w:rPr>
          <w:rFonts w:ascii="Arial" w:hAnsi="Arial" w:cs="Arial"/>
          <w:sz w:val="28"/>
          <w:szCs w:val="28"/>
          <w:bdr w:val="single" w:sz="4" w:space="0" w:color="auto"/>
        </w:rPr>
        <w:t xml:space="preserve">Слайд </w:t>
      </w:r>
      <w:r w:rsidR="00AB0F1F">
        <w:rPr>
          <w:rFonts w:ascii="Arial" w:hAnsi="Arial" w:cs="Arial"/>
          <w:sz w:val="28"/>
          <w:szCs w:val="28"/>
          <w:bdr w:val="single" w:sz="4" w:space="0" w:color="auto"/>
        </w:rPr>
        <w:t>4</w:t>
      </w:r>
      <w:r w:rsidR="00622AF7">
        <w:rPr>
          <w:rFonts w:ascii="Arial" w:hAnsi="Arial" w:cs="Arial"/>
          <w:sz w:val="28"/>
          <w:szCs w:val="28"/>
          <w:bdr w:val="single" w:sz="4" w:space="0" w:color="auto"/>
        </w:rPr>
        <w:t>2</w:t>
      </w:r>
    </w:p>
    <w:p w:rsidR="00D71540" w:rsidRDefault="005509BF" w:rsidP="00D71540">
      <w:pPr>
        <w:jc w:val="right"/>
        <w:rPr>
          <w:b/>
          <w:sz w:val="28"/>
          <w:szCs w:val="28"/>
          <w:u w:val="single"/>
        </w:rPr>
      </w:pPr>
      <w:r w:rsidRPr="005509BF">
        <w:rPr>
          <w:b/>
          <w:sz w:val="28"/>
          <w:szCs w:val="28"/>
          <w:u w:val="single"/>
        </w:rPr>
        <w:t xml:space="preserve">ПРОЕКТ </w:t>
      </w:r>
    </w:p>
    <w:p w:rsidR="0099597D" w:rsidRDefault="005509BF" w:rsidP="00D71540">
      <w:pPr>
        <w:jc w:val="center"/>
        <w:rPr>
          <w:sz w:val="28"/>
          <w:szCs w:val="28"/>
        </w:rPr>
      </w:pPr>
      <w:r w:rsidRPr="00D71540">
        <w:rPr>
          <w:b/>
          <w:sz w:val="28"/>
          <w:szCs w:val="28"/>
        </w:rPr>
        <w:t>РЕШЕНИ</w:t>
      </w:r>
      <w:r w:rsidR="00D71540" w:rsidRPr="00D71540">
        <w:rPr>
          <w:b/>
          <w:sz w:val="28"/>
          <w:szCs w:val="28"/>
        </w:rPr>
        <w:t>Е</w:t>
      </w:r>
      <w:r w:rsidR="00D71540" w:rsidRPr="00D71540">
        <w:rPr>
          <w:b/>
          <w:sz w:val="28"/>
          <w:szCs w:val="28"/>
        </w:rPr>
        <w:br/>
      </w:r>
      <w:r w:rsidRPr="00D71540">
        <w:rPr>
          <w:b/>
          <w:sz w:val="28"/>
          <w:szCs w:val="28"/>
        </w:rPr>
        <w:t>Ученого Совета УдГУ</w:t>
      </w:r>
      <w:r w:rsidR="00D35FD3" w:rsidRPr="00D71540">
        <w:rPr>
          <w:b/>
          <w:sz w:val="28"/>
          <w:szCs w:val="28"/>
        </w:rPr>
        <w:t xml:space="preserve"> от </w:t>
      </w:r>
      <w:r w:rsidR="00B34FBA" w:rsidRPr="00B34FBA">
        <w:rPr>
          <w:b/>
          <w:sz w:val="28"/>
          <w:szCs w:val="28"/>
        </w:rPr>
        <w:t>29</w:t>
      </w:r>
      <w:r w:rsidR="00D35FD3" w:rsidRPr="00D71540">
        <w:rPr>
          <w:b/>
          <w:sz w:val="28"/>
          <w:szCs w:val="28"/>
        </w:rPr>
        <w:t>.0</w:t>
      </w:r>
      <w:r w:rsidR="00F465B7" w:rsidRPr="00D71540">
        <w:rPr>
          <w:b/>
          <w:sz w:val="28"/>
          <w:szCs w:val="28"/>
        </w:rPr>
        <w:t>1</w:t>
      </w:r>
      <w:r w:rsidR="00D35FD3" w:rsidRPr="00D71540">
        <w:rPr>
          <w:b/>
          <w:sz w:val="28"/>
          <w:szCs w:val="28"/>
        </w:rPr>
        <w:t>.201</w:t>
      </w:r>
      <w:r w:rsidR="00B34FBA" w:rsidRPr="00B34FBA">
        <w:rPr>
          <w:b/>
          <w:sz w:val="28"/>
          <w:szCs w:val="28"/>
        </w:rPr>
        <w:t>3</w:t>
      </w:r>
      <w:r w:rsidR="00D35FD3" w:rsidRPr="00D71540">
        <w:rPr>
          <w:b/>
          <w:sz w:val="28"/>
          <w:szCs w:val="28"/>
        </w:rPr>
        <w:t xml:space="preserve"> по вопросу</w:t>
      </w:r>
      <w:r w:rsidR="000212E4" w:rsidRPr="00D71540">
        <w:rPr>
          <w:b/>
          <w:sz w:val="28"/>
          <w:szCs w:val="28"/>
        </w:rPr>
        <w:t xml:space="preserve"> «О</w:t>
      </w:r>
      <w:r w:rsidR="00B34FBA">
        <w:rPr>
          <w:b/>
          <w:sz w:val="28"/>
          <w:szCs w:val="28"/>
        </w:rPr>
        <w:t>б</w:t>
      </w:r>
      <w:r w:rsidR="000212E4" w:rsidRPr="00D71540">
        <w:rPr>
          <w:b/>
          <w:sz w:val="28"/>
          <w:szCs w:val="28"/>
        </w:rPr>
        <w:t xml:space="preserve"> </w:t>
      </w:r>
      <w:r w:rsidR="00B34FBA">
        <w:rPr>
          <w:b/>
          <w:sz w:val="28"/>
          <w:szCs w:val="28"/>
        </w:rPr>
        <w:t>итогах</w:t>
      </w:r>
      <w:r w:rsidR="000212E4" w:rsidRPr="00D71540">
        <w:rPr>
          <w:b/>
          <w:sz w:val="28"/>
          <w:szCs w:val="28"/>
        </w:rPr>
        <w:t xml:space="preserve"> </w:t>
      </w:r>
      <w:r w:rsidR="00B34FBA">
        <w:rPr>
          <w:b/>
          <w:sz w:val="28"/>
          <w:szCs w:val="28"/>
        </w:rPr>
        <w:t>вы</w:t>
      </w:r>
      <w:r w:rsidR="000212E4" w:rsidRPr="00D71540">
        <w:rPr>
          <w:b/>
          <w:sz w:val="28"/>
          <w:szCs w:val="28"/>
        </w:rPr>
        <w:t xml:space="preserve">полнения Коллективного договора УдГУ </w:t>
      </w:r>
      <w:r w:rsidR="00B34FBA">
        <w:rPr>
          <w:b/>
          <w:sz w:val="28"/>
          <w:szCs w:val="28"/>
        </w:rPr>
        <w:t xml:space="preserve">в </w:t>
      </w:r>
      <w:r w:rsidR="000212E4" w:rsidRPr="00D71540">
        <w:rPr>
          <w:b/>
          <w:sz w:val="28"/>
          <w:szCs w:val="28"/>
        </w:rPr>
        <w:t>2010-2112 год</w:t>
      </w:r>
      <w:r w:rsidR="00B34FBA">
        <w:rPr>
          <w:b/>
          <w:sz w:val="28"/>
          <w:szCs w:val="28"/>
        </w:rPr>
        <w:t>ах</w:t>
      </w:r>
      <w:r w:rsidR="000212E4" w:rsidRPr="00D71540">
        <w:rPr>
          <w:b/>
          <w:sz w:val="28"/>
          <w:szCs w:val="28"/>
        </w:rPr>
        <w:t>»</w:t>
      </w:r>
      <w:r w:rsidR="0099597D" w:rsidRPr="00D71540">
        <w:rPr>
          <w:sz w:val="28"/>
          <w:szCs w:val="28"/>
        </w:rPr>
        <w:t>:</w:t>
      </w:r>
    </w:p>
    <w:p w:rsidR="00AB0F1F" w:rsidRDefault="00AB0F1F" w:rsidP="00D71540">
      <w:pPr>
        <w:jc w:val="center"/>
        <w:rPr>
          <w:sz w:val="28"/>
          <w:szCs w:val="28"/>
        </w:rPr>
      </w:pPr>
    </w:p>
    <w:p w:rsidR="00D71540" w:rsidRDefault="00AB0F1F" w:rsidP="00AB0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председателя профсоюзного комитета УдГУ А.Е. </w:t>
      </w:r>
      <w:r w:rsidRPr="00AB0F1F">
        <w:rPr>
          <w:sz w:val="28"/>
          <w:szCs w:val="28"/>
        </w:rPr>
        <w:t>Анисимова «Об итогах выполнения Коллективного договора УдГУ в 2010-2</w:t>
      </w:r>
      <w:r>
        <w:rPr>
          <w:sz w:val="28"/>
          <w:szCs w:val="28"/>
        </w:rPr>
        <w:t>0</w:t>
      </w:r>
      <w:r w:rsidRPr="00AB0F1F">
        <w:rPr>
          <w:sz w:val="28"/>
          <w:szCs w:val="28"/>
        </w:rPr>
        <w:t xml:space="preserve">12 годах» </w:t>
      </w:r>
      <w:r>
        <w:rPr>
          <w:sz w:val="28"/>
          <w:szCs w:val="28"/>
        </w:rPr>
        <w:t>Ученый Совет УдГУ</w:t>
      </w:r>
    </w:p>
    <w:p w:rsidR="00AB0F1F" w:rsidRDefault="00AB0F1F" w:rsidP="00AB0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 е ш и л</w:t>
      </w:r>
    </w:p>
    <w:p w:rsidR="00611E16" w:rsidRPr="00E93268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E93268">
        <w:rPr>
          <w:sz w:val="28"/>
          <w:szCs w:val="28"/>
        </w:rPr>
        <w:t>Принять к сведению информацию об итогах выполнения Коллективн</w:t>
      </w:r>
      <w:r w:rsidRPr="00E93268">
        <w:rPr>
          <w:sz w:val="28"/>
          <w:szCs w:val="28"/>
        </w:rPr>
        <w:t>о</w:t>
      </w:r>
      <w:r w:rsidRPr="00E93268">
        <w:rPr>
          <w:sz w:val="28"/>
          <w:szCs w:val="28"/>
        </w:rPr>
        <w:t>го договора УдГУ в 2010-2012 годах.</w:t>
      </w:r>
    </w:p>
    <w:p w:rsidR="00611E16" w:rsidRPr="00E93268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E93268">
        <w:rPr>
          <w:sz w:val="28"/>
          <w:szCs w:val="28"/>
        </w:rPr>
        <w:t>Комиссии по социальному партнерству продолжить работу по подг</w:t>
      </w:r>
      <w:r w:rsidRPr="00E93268">
        <w:rPr>
          <w:sz w:val="28"/>
          <w:szCs w:val="28"/>
        </w:rPr>
        <w:t>о</w:t>
      </w:r>
      <w:r w:rsidRPr="00E93268">
        <w:rPr>
          <w:sz w:val="28"/>
          <w:szCs w:val="28"/>
        </w:rPr>
        <w:t xml:space="preserve">товке новой редакции Коллективного договора и приложений к нему. Отв. – Г.А. Сергеев, А.Е. Анисимов. Срок – до 30.04.2013 года. </w:t>
      </w:r>
    </w:p>
    <w:p w:rsidR="00611E16" w:rsidRPr="00E93268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E93268">
        <w:rPr>
          <w:sz w:val="28"/>
          <w:szCs w:val="28"/>
        </w:rPr>
        <w:lastRenderedPageBreak/>
        <w:t>В целях снижения социальной напряженности осуществлять деятел</w:t>
      </w:r>
      <w:r w:rsidRPr="00E93268">
        <w:rPr>
          <w:sz w:val="28"/>
          <w:szCs w:val="28"/>
        </w:rPr>
        <w:t>ь</w:t>
      </w:r>
      <w:r w:rsidRPr="00E93268">
        <w:rPr>
          <w:sz w:val="28"/>
          <w:szCs w:val="28"/>
        </w:rPr>
        <w:t>ность по оптимизации структурных подразделений университета и его штатного расписания на планомерной основе.</w:t>
      </w:r>
    </w:p>
    <w:p w:rsidR="00611E16" w:rsidRPr="00E93268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E93268">
        <w:rPr>
          <w:sz w:val="28"/>
          <w:szCs w:val="28"/>
        </w:rPr>
        <w:t>Восстановить практику использования результатов рейтинговой оце</w:t>
      </w:r>
      <w:r w:rsidRPr="00E93268">
        <w:rPr>
          <w:sz w:val="28"/>
          <w:szCs w:val="28"/>
        </w:rPr>
        <w:t>н</w:t>
      </w:r>
      <w:r w:rsidRPr="00E93268">
        <w:rPr>
          <w:sz w:val="28"/>
          <w:szCs w:val="28"/>
        </w:rPr>
        <w:t>ки в системе оплаты труда. Отв. – М.М. Кибардин, Г.А. Сергеев.</w:t>
      </w:r>
    </w:p>
    <w:p w:rsidR="00DC11DE" w:rsidRPr="00E93268" w:rsidRDefault="00DC11DE" w:rsidP="00E93268">
      <w:pPr>
        <w:numPr>
          <w:ilvl w:val="0"/>
          <w:numId w:val="27"/>
        </w:numPr>
        <w:jc w:val="both"/>
        <w:rPr>
          <w:sz w:val="28"/>
          <w:szCs w:val="28"/>
        </w:rPr>
      </w:pPr>
      <w:r w:rsidRPr="00E93268">
        <w:rPr>
          <w:sz w:val="28"/>
          <w:szCs w:val="28"/>
        </w:rPr>
        <w:t>Подготовить и согласовать для заключения проект Соглашения по о</w:t>
      </w:r>
      <w:r w:rsidRPr="00E93268">
        <w:rPr>
          <w:sz w:val="28"/>
          <w:szCs w:val="28"/>
        </w:rPr>
        <w:t>х</w:t>
      </w:r>
      <w:r w:rsidRPr="00E93268">
        <w:rPr>
          <w:sz w:val="28"/>
          <w:szCs w:val="28"/>
        </w:rPr>
        <w:t xml:space="preserve">ране труда УдГУ на 2013 год. Отв. – В.М. Ефимов, С.М. Климов, </w:t>
      </w:r>
      <w:r w:rsidR="00174E28" w:rsidRPr="00E93268">
        <w:rPr>
          <w:sz w:val="28"/>
          <w:szCs w:val="28"/>
        </w:rPr>
        <w:t>А.Е.</w:t>
      </w:r>
      <w:r w:rsidR="00174E28">
        <w:rPr>
          <w:sz w:val="28"/>
          <w:szCs w:val="28"/>
        </w:rPr>
        <w:t xml:space="preserve"> </w:t>
      </w:r>
      <w:r w:rsidRPr="00E93268">
        <w:rPr>
          <w:sz w:val="28"/>
          <w:szCs w:val="28"/>
        </w:rPr>
        <w:t>Анисимов Срок – до 17.02.2013 года.</w:t>
      </w:r>
    </w:p>
    <w:sectPr w:rsidR="00DC11DE" w:rsidRPr="00E93268" w:rsidSect="00800C91">
      <w:footerReference w:type="even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38" w:rsidRDefault="00546038">
      <w:r>
        <w:separator/>
      </w:r>
    </w:p>
  </w:endnote>
  <w:endnote w:type="continuationSeparator" w:id="1">
    <w:p w:rsidR="00546038" w:rsidRDefault="0054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1F" w:rsidRDefault="002975E3" w:rsidP="00C72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3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31F" w:rsidRDefault="00A813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1F" w:rsidRDefault="002975E3" w:rsidP="00C72C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31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FF9">
      <w:rPr>
        <w:rStyle w:val="a5"/>
        <w:noProof/>
      </w:rPr>
      <w:t>5</w:t>
    </w:r>
    <w:r>
      <w:rPr>
        <w:rStyle w:val="a5"/>
      </w:rPr>
      <w:fldChar w:fldCharType="end"/>
    </w:r>
  </w:p>
  <w:p w:rsidR="00A8131F" w:rsidRDefault="00A81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38" w:rsidRDefault="00546038">
      <w:r>
        <w:separator/>
      </w:r>
    </w:p>
  </w:footnote>
  <w:footnote w:type="continuationSeparator" w:id="1">
    <w:p w:rsidR="00546038" w:rsidRDefault="0054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533"/>
    <w:multiLevelType w:val="hybridMultilevel"/>
    <w:tmpl w:val="277AE1BC"/>
    <w:lvl w:ilvl="0" w:tplc="7706B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44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CE8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4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A3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6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44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08F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E49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2">
    <w:nsid w:val="0E6C69B2"/>
    <w:multiLevelType w:val="hybridMultilevel"/>
    <w:tmpl w:val="50182D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3444BC2"/>
    <w:multiLevelType w:val="hybridMultilevel"/>
    <w:tmpl w:val="3DB2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1148"/>
    <w:multiLevelType w:val="hybridMultilevel"/>
    <w:tmpl w:val="4690541C"/>
    <w:lvl w:ilvl="0" w:tplc="28D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3E2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C6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EC0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AB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A3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8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C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C3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04202"/>
    <w:multiLevelType w:val="hybridMultilevel"/>
    <w:tmpl w:val="332A46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F24597"/>
    <w:multiLevelType w:val="hybridMultilevel"/>
    <w:tmpl w:val="D3340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3A6A8D"/>
    <w:multiLevelType w:val="hybridMultilevel"/>
    <w:tmpl w:val="D21E68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DD55B9"/>
    <w:multiLevelType w:val="hybridMultilevel"/>
    <w:tmpl w:val="E37A69FA"/>
    <w:lvl w:ilvl="0" w:tplc="20F82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09C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3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6EE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3C85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0F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E5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2D0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2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3B62C4"/>
    <w:multiLevelType w:val="hybridMultilevel"/>
    <w:tmpl w:val="8D22F29C"/>
    <w:lvl w:ilvl="0" w:tplc="5D12CED0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AA50CD"/>
    <w:multiLevelType w:val="hybridMultilevel"/>
    <w:tmpl w:val="F892B8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8033A3"/>
    <w:multiLevelType w:val="hybridMultilevel"/>
    <w:tmpl w:val="7C820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37EAF"/>
    <w:multiLevelType w:val="hybridMultilevel"/>
    <w:tmpl w:val="BE8EFF62"/>
    <w:lvl w:ilvl="0" w:tplc="FECCA260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16F2161"/>
    <w:multiLevelType w:val="hybridMultilevel"/>
    <w:tmpl w:val="94120458"/>
    <w:lvl w:ilvl="0" w:tplc="E62A9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68F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AA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AF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AE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C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E4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A3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C5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2730CE"/>
    <w:multiLevelType w:val="hybridMultilevel"/>
    <w:tmpl w:val="298E8B24"/>
    <w:lvl w:ilvl="0" w:tplc="C632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17845"/>
    <w:multiLevelType w:val="hybridMultilevel"/>
    <w:tmpl w:val="8A9C0E6C"/>
    <w:lvl w:ilvl="0" w:tplc="5D12CED0">
      <w:start w:val="1"/>
      <w:numFmt w:val="bullet"/>
      <w:lvlText w:val="—"/>
      <w:lvlJc w:val="left"/>
      <w:pPr>
        <w:tabs>
          <w:tab w:val="num" w:pos="540"/>
        </w:tabs>
        <w:ind w:left="54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0C052A"/>
    <w:multiLevelType w:val="hybridMultilevel"/>
    <w:tmpl w:val="B344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C0965"/>
    <w:multiLevelType w:val="hybridMultilevel"/>
    <w:tmpl w:val="318C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D5064"/>
    <w:multiLevelType w:val="hybridMultilevel"/>
    <w:tmpl w:val="FB5E02D8"/>
    <w:lvl w:ilvl="0" w:tplc="5D12CED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3C7CE9"/>
    <w:multiLevelType w:val="hybridMultilevel"/>
    <w:tmpl w:val="A9B876BE"/>
    <w:lvl w:ilvl="0" w:tplc="C6321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C1D1AB6"/>
    <w:multiLevelType w:val="hybridMultilevel"/>
    <w:tmpl w:val="D5E8CEA6"/>
    <w:lvl w:ilvl="0" w:tplc="FECCA260">
      <w:start w:val="1"/>
      <w:numFmt w:val="bullet"/>
      <w:lvlText w:val=""/>
      <w:lvlJc w:val="left"/>
      <w:pPr>
        <w:tabs>
          <w:tab w:val="num" w:pos="824"/>
        </w:tabs>
        <w:ind w:left="82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14F5C96"/>
    <w:multiLevelType w:val="hybridMultilevel"/>
    <w:tmpl w:val="502E5E8E"/>
    <w:lvl w:ilvl="0" w:tplc="5D12CED0">
      <w:start w:val="1"/>
      <w:numFmt w:val="bullet"/>
      <w:lvlText w:val="—"/>
      <w:lvlJc w:val="left"/>
      <w:pPr>
        <w:tabs>
          <w:tab w:val="num" w:pos="617"/>
        </w:tabs>
        <w:ind w:left="617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23">
    <w:nsid w:val="66B04A96"/>
    <w:multiLevelType w:val="hybridMultilevel"/>
    <w:tmpl w:val="30E87D02"/>
    <w:lvl w:ilvl="0" w:tplc="3D041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EB2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D8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804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ED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6CF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818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47B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4C6B15"/>
    <w:multiLevelType w:val="hybridMultilevel"/>
    <w:tmpl w:val="B03EC8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0CE5848"/>
    <w:multiLevelType w:val="hybridMultilevel"/>
    <w:tmpl w:val="B00A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6B279B"/>
    <w:multiLevelType w:val="hybridMultilevel"/>
    <w:tmpl w:val="471C4D2C"/>
    <w:lvl w:ilvl="0" w:tplc="056AF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3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B27D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EE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E6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02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6E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0C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8EF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21"/>
  </w:num>
  <w:num w:numId="5">
    <w:abstractNumId w:val="24"/>
  </w:num>
  <w:num w:numId="6">
    <w:abstractNumId w:val="25"/>
  </w:num>
  <w:num w:numId="7">
    <w:abstractNumId w:val="11"/>
  </w:num>
  <w:num w:numId="8">
    <w:abstractNumId w:val="10"/>
  </w:num>
  <w:num w:numId="9">
    <w:abstractNumId w:val="17"/>
  </w:num>
  <w:num w:numId="10">
    <w:abstractNumId w:val="5"/>
  </w:num>
  <w:num w:numId="11">
    <w:abstractNumId w:val="7"/>
  </w:num>
  <w:num w:numId="12">
    <w:abstractNumId w:val="18"/>
  </w:num>
  <w:num w:numId="13">
    <w:abstractNumId w:val="20"/>
  </w:num>
  <w:num w:numId="14">
    <w:abstractNumId w:val="2"/>
  </w:num>
  <w:num w:numId="15">
    <w:abstractNumId w:val="15"/>
  </w:num>
  <w:num w:numId="16">
    <w:abstractNumId w:val="9"/>
  </w:num>
  <w:num w:numId="17">
    <w:abstractNumId w:val="19"/>
  </w:num>
  <w:num w:numId="18">
    <w:abstractNumId w:val="22"/>
  </w:num>
  <w:num w:numId="19">
    <w:abstractNumId w:val="16"/>
  </w:num>
  <w:num w:numId="20">
    <w:abstractNumId w:val="6"/>
  </w:num>
  <w:num w:numId="21">
    <w:abstractNumId w:val="4"/>
  </w:num>
  <w:num w:numId="22">
    <w:abstractNumId w:val="3"/>
  </w:num>
  <w:num w:numId="23">
    <w:abstractNumId w:val="23"/>
  </w:num>
  <w:num w:numId="24">
    <w:abstractNumId w:val="8"/>
  </w:num>
  <w:num w:numId="25">
    <w:abstractNumId w:val="13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96"/>
    <w:rsid w:val="00000115"/>
    <w:rsid w:val="000028F0"/>
    <w:rsid w:val="00007C39"/>
    <w:rsid w:val="00010607"/>
    <w:rsid w:val="00012E04"/>
    <w:rsid w:val="000133CF"/>
    <w:rsid w:val="00021230"/>
    <w:rsid w:val="000212E4"/>
    <w:rsid w:val="000252D7"/>
    <w:rsid w:val="00027AF5"/>
    <w:rsid w:val="00031D7C"/>
    <w:rsid w:val="00032092"/>
    <w:rsid w:val="0003293C"/>
    <w:rsid w:val="0004275B"/>
    <w:rsid w:val="00050B41"/>
    <w:rsid w:val="00051FA5"/>
    <w:rsid w:val="00053215"/>
    <w:rsid w:val="0005587D"/>
    <w:rsid w:val="00057D65"/>
    <w:rsid w:val="00061ED8"/>
    <w:rsid w:val="00064C84"/>
    <w:rsid w:val="00065761"/>
    <w:rsid w:val="0006746E"/>
    <w:rsid w:val="00071206"/>
    <w:rsid w:val="000730E3"/>
    <w:rsid w:val="00082242"/>
    <w:rsid w:val="000853B1"/>
    <w:rsid w:val="00086B58"/>
    <w:rsid w:val="00087351"/>
    <w:rsid w:val="00087537"/>
    <w:rsid w:val="00090B77"/>
    <w:rsid w:val="00091B85"/>
    <w:rsid w:val="000934BD"/>
    <w:rsid w:val="000936A0"/>
    <w:rsid w:val="00093FB4"/>
    <w:rsid w:val="000A1380"/>
    <w:rsid w:val="000B1D77"/>
    <w:rsid w:val="000B2AF2"/>
    <w:rsid w:val="000B3F1B"/>
    <w:rsid w:val="000C4F0A"/>
    <w:rsid w:val="000D0F37"/>
    <w:rsid w:val="000D43B4"/>
    <w:rsid w:val="000D4A8E"/>
    <w:rsid w:val="000D771A"/>
    <w:rsid w:val="000E2CE4"/>
    <w:rsid w:val="000E476D"/>
    <w:rsid w:val="000E4DF1"/>
    <w:rsid w:val="000E51D7"/>
    <w:rsid w:val="000F2E89"/>
    <w:rsid w:val="000F3D21"/>
    <w:rsid w:val="00100BF1"/>
    <w:rsid w:val="00103D6D"/>
    <w:rsid w:val="00104710"/>
    <w:rsid w:val="00107502"/>
    <w:rsid w:val="001144CE"/>
    <w:rsid w:val="00114C5E"/>
    <w:rsid w:val="00117976"/>
    <w:rsid w:val="00120A40"/>
    <w:rsid w:val="00125E86"/>
    <w:rsid w:val="001318F3"/>
    <w:rsid w:val="00135DAF"/>
    <w:rsid w:val="001416A2"/>
    <w:rsid w:val="00141993"/>
    <w:rsid w:val="00144151"/>
    <w:rsid w:val="0014670B"/>
    <w:rsid w:val="00151C96"/>
    <w:rsid w:val="00151E3F"/>
    <w:rsid w:val="00151EF7"/>
    <w:rsid w:val="001563BC"/>
    <w:rsid w:val="00157934"/>
    <w:rsid w:val="00162449"/>
    <w:rsid w:val="00163B96"/>
    <w:rsid w:val="00166169"/>
    <w:rsid w:val="00171CCC"/>
    <w:rsid w:val="00172D52"/>
    <w:rsid w:val="00174E28"/>
    <w:rsid w:val="00175AF4"/>
    <w:rsid w:val="00181036"/>
    <w:rsid w:val="00185105"/>
    <w:rsid w:val="00186695"/>
    <w:rsid w:val="00191024"/>
    <w:rsid w:val="0019391E"/>
    <w:rsid w:val="00193F7C"/>
    <w:rsid w:val="001967DA"/>
    <w:rsid w:val="001A6708"/>
    <w:rsid w:val="001A7D2B"/>
    <w:rsid w:val="001B10D8"/>
    <w:rsid w:val="001C2036"/>
    <w:rsid w:val="001C6048"/>
    <w:rsid w:val="001D4BB1"/>
    <w:rsid w:val="001D6CFD"/>
    <w:rsid w:val="001E1D63"/>
    <w:rsid w:val="001E4CA1"/>
    <w:rsid w:val="001F3772"/>
    <w:rsid w:val="002031F4"/>
    <w:rsid w:val="002051BA"/>
    <w:rsid w:val="00211B7D"/>
    <w:rsid w:val="00212965"/>
    <w:rsid w:val="00216AF1"/>
    <w:rsid w:val="00216D62"/>
    <w:rsid w:val="002249EF"/>
    <w:rsid w:val="00231980"/>
    <w:rsid w:val="00237CB1"/>
    <w:rsid w:val="00237EE6"/>
    <w:rsid w:val="00240EC6"/>
    <w:rsid w:val="0024478A"/>
    <w:rsid w:val="00251832"/>
    <w:rsid w:val="00252B28"/>
    <w:rsid w:val="00253BE4"/>
    <w:rsid w:val="00262E44"/>
    <w:rsid w:val="00264084"/>
    <w:rsid w:val="002725EF"/>
    <w:rsid w:val="00275F38"/>
    <w:rsid w:val="002766BE"/>
    <w:rsid w:val="002769A6"/>
    <w:rsid w:val="00276B43"/>
    <w:rsid w:val="00276C76"/>
    <w:rsid w:val="0027768F"/>
    <w:rsid w:val="0028027F"/>
    <w:rsid w:val="002808FB"/>
    <w:rsid w:val="002831F3"/>
    <w:rsid w:val="00285C89"/>
    <w:rsid w:val="002902FB"/>
    <w:rsid w:val="002929F4"/>
    <w:rsid w:val="00293321"/>
    <w:rsid w:val="002934BC"/>
    <w:rsid w:val="00293B80"/>
    <w:rsid w:val="00293DC8"/>
    <w:rsid w:val="002948FA"/>
    <w:rsid w:val="002975E3"/>
    <w:rsid w:val="002A5D77"/>
    <w:rsid w:val="002A5DE3"/>
    <w:rsid w:val="002B51B9"/>
    <w:rsid w:val="002C2E12"/>
    <w:rsid w:val="002C6BF6"/>
    <w:rsid w:val="002D2AB8"/>
    <w:rsid w:val="002D489F"/>
    <w:rsid w:val="002E494C"/>
    <w:rsid w:val="002F438E"/>
    <w:rsid w:val="003006F2"/>
    <w:rsid w:val="00300A0E"/>
    <w:rsid w:val="00301D52"/>
    <w:rsid w:val="00305E9B"/>
    <w:rsid w:val="00305FD3"/>
    <w:rsid w:val="0031149B"/>
    <w:rsid w:val="00312388"/>
    <w:rsid w:val="00312AF6"/>
    <w:rsid w:val="00315273"/>
    <w:rsid w:val="00320E40"/>
    <w:rsid w:val="00323768"/>
    <w:rsid w:val="0032709D"/>
    <w:rsid w:val="00331467"/>
    <w:rsid w:val="003317DE"/>
    <w:rsid w:val="00337B1D"/>
    <w:rsid w:val="003420E6"/>
    <w:rsid w:val="0034298D"/>
    <w:rsid w:val="00343AB4"/>
    <w:rsid w:val="00346C64"/>
    <w:rsid w:val="00351B80"/>
    <w:rsid w:val="00353C74"/>
    <w:rsid w:val="00355073"/>
    <w:rsid w:val="00357B06"/>
    <w:rsid w:val="00360F17"/>
    <w:rsid w:val="003611AF"/>
    <w:rsid w:val="00361833"/>
    <w:rsid w:val="00361ABB"/>
    <w:rsid w:val="003649C3"/>
    <w:rsid w:val="00364DDF"/>
    <w:rsid w:val="003729A3"/>
    <w:rsid w:val="0037344E"/>
    <w:rsid w:val="003802F1"/>
    <w:rsid w:val="00381DA7"/>
    <w:rsid w:val="0038314A"/>
    <w:rsid w:val="00384E18"/>
    <w:rsid w:val="00386C5D"/>
    <w:rsid w:val="0039012A"/>
    <w:rsid w:val="00390F46"/>
    <w:rsid w:val="00394918"/>
    <w:rsid w:val="00394ABA"/>
    <w:rsid w:val="003959F9"/>
    <w:rsid w:val="003A098D"/>
    <w:rsid w:val="003A0AA7"/>
    <w:rsid w:val="003A0B86"/>
    <w:rsid w:val="003A241F"/>
    <w:rsid w:val="003A29A6"/>
    <w:rsid w:val="003B74C1"/>
    <w:rsid w:val="003C0396"/>
    <w:rsid w:val="003C124A"/>
    <w:rsid w:val="003D1804"/>
    <w:rsid w:val="003E1792"/>
    <w:rsid w:val="003E24A4"/>
    <w:rsid w:val="003E254C"/>
    <w:rsid w:val="003E385F"/>
    <w:rsid w:val="003F0CC8"/>
    <w:rsid w:val="003F242B"/>
    <w:rsid w:val="003F42B0"/>
    <w:rsid w:val="00405E97"/>
    <w:rsid w:val="00411370"/>
    <w:rsid w:val="00411E08"/>
    <w:rsid w:val="004129F1"/>
    <w:rsid w:val="00412FC8"/>
    <w:rsid w:val="004205FD"/>
    <w:rsid w:val="00421F25"/>
    <w:rsid w:val="00427301"/>
    <w:rsid w:val="004303BB"/>
    <w:rsid w:val="004443A3"/>
    <w:rsid w:val="00445B89"/>
    <w:rsid w:val="0045549B"/>
    <w:rsid w:val="00456BD0"/>
    <w:rsid w:val="004610F9"/>
    <w:rsid w:val="00461C7D"/>
    <w:rsid w:val="00463B81"/>
    <w:rsid w:val="00470441"/>
    <w:rsid w:val="00472606"/>
    <w:rsid w:val="00474CE2"/>
    <w:rsid w:val="00477C47"/>
    <w:rsid w:val="00491340"/>
    <w:rsid w:val="00492A59"/>
    <w:rsid w:val="0049438D"/>
    <w:rsid w:val="004A1EB6"/>
    <w:rsid w:val="004B010D"/>
    <w:rsid w:val="004B27D1"/>
    <w:rsid w:val="004B28E5"/>
    <w:rsid w:val="004B56BC"/>
    <w:rsid w:val="004C3440"/>
    <w:rsid w:val="004D0D71"/>
    <w:rsid w:val="004D2FB3"/>
    <w:rsid w:val="004D3072"/>
    <w:rsid w:val="004D5781"/>
    <w:rsid w:val="004E1E41"/>
    <w:rsid w:val="004E28FA"/>
    <w:rsid w:val="004E44D2"/>
    <w:rsid w:val="004E5317"/>
    <w:rsid w:val="004E532F"/>
    <w:rsid w:val="004E58D4"/>
    <w:rsid w:val="004F6545"/>
    <w:rsid w:val="00501D25"/>
    <w:rsid w:val="0050249A"/>
    <w:rsid w:val="0050256A"/>
    <w:rsid w:val="00515FF9"/>
    <w:rsid w:val="00517E8E"/>
    <w:rsid w:val="005248E9"/>
    <w:rsid w:val="00531A8D"/>
    <w:rsid w:val="00532FF5"/>
    <w:rsid w:val="00533BE4"/>
    <w:rsid w:val="00535C1B"/>
    <w:rsid w:val="00537F6E"/>
    <w:rsid w:val="005407BF"/>
    <w:rsid w:val="0054264E"/>
    <w:rsid w:val="00546038"/>
    <w:rsid w:val="00546CA0"/>
    <w:rsid w:val="00547176"/>
    <w:rsid w:val="0055000B"/>
    <w:rsid w:val="005509BF"/>
    <w:rsid w:val="00550F08"/>
    <w:rsid w:val="00552471"/>
    <w:rsid w:val="0056488B"/>
    <w:rsid w:val="00565DF1"/>
    <w:rsid w:val="00574616"/>
    <w:rsid w:val="005764D7"/>
    <w:rsid w:val="00577471"/>
    <w:rsid w:val="00582888"/>
    <w:rsid w:val="005829AE"/>
    <w:rsid w:val="005833B5"/>
    <w:rsid w:val="00584578"/>
    <w:rsid w:val="00586DC0"/>
    <w:rsid w:val="00592007"/>
    <w:rsid w:val="00592F9C"/>
    <w:rsid w:val="00594B73"/>
    <w:rsid w:val="005A108B"/>
    <w:rsid w:val="005A611C"/>
    <w:rsid w:val="005B0133"/>
    <w:rsid w:val="005B1A91"/>
    <w:rsid w:val="005B1CDA"/>
    <w:rsid w:val="005C03B2"/>
    <w:rsid w:val="005C3B5A"/>
    <w:rsid w:val="005C69DD"/>
    <w:rsid w:val="005D3317"/>
    <w:rsid w:val="005D3489"/>
    <w:rsid w:val="005E3E57"/>
    <w:rsid w:val="005E5613"/>
    <w:rsid w:val="005E784D"/>
    <w:rsid w:val="005F0F9C"/>
    <w:rsid w:val="005F174D"/>
    <w:rsid w:val="005F1C78"/>
    <w:rsid w:val="005F2470"/>
    <w:rsid w:val="005F3BF7"/>
    <w:rsid w:val="005F795E"/>
    <w:rsid w:val="006037F2"/>
    <w:rsid w:val="00611D11"/>
    <w:rsid w:val="00611E16"/>
    <w:rsid w:val="00612690"/>
    <w:rsid w:val="00616EEE"/>
    <w:rsid w:val="006221E9"/>
    <w:rsid w:val="00622AF7"/>
    <w:rsid w:val="00623195"/>
    <w:rsid w:val="00631461"/>
    <w:rsid w:val="006345A0"/>
    <w:rsid w:val="006366E4"/>
    <w:rsid w:val="00641B45"/>
    <w:rsid w:val="00642359"/>
    <w:rsid w:val="00643A4A"/>
    <w:rsid w:val="006440CD"/>
    <w:rsid w:val="006447CD"/>
    <w:rsid w:val="0064619F"/>
    <w:rsid w:val="00652880"/>
    <w:rsid w:val="006542B5"/>
    <w:rsid w:val="00656B6F"/>
    <w:rsid w:val="006673DE"/>
    <w:rsid w:val="006729A4"/>
    <w:rsid w:val="006760D3"/>
    <w:rsid w:val="00676404"/>
    <w:rsid w:val="00680840"/>
    <w:rsid w:val="0068316D"/>
    <w:rsid w:val="00687CC8"/>
    <w:rsid w:val="00693545"/>
    <w:rsid w:val="00696969"/>
    <w:rsid w:val="006A64E8"/>
    <w:rsid w:val="006A688B"/>
    <w:rsid w:val="006C0A3C"/>
    <w:rsid w:val="006C69A8"/>
    <w:rsid w:val="006D0C0F"/>
    <w:rsid w:val="006D50E3"/>
    <w:rsid w:val="006D560B"/>
    <w:rsid w:val="006D7720"/>
    <w:rsid w:val="006D7D2B"/>
    <w:rsid w:val="006E09F8"/>
    <w:rsid w:val="006E0B15"/>
    <w:rsid w:val="006E410E"/>
    <w:rsid w:val="006E51FC"/>
    <w:rsid w:val="006E720B"/>
    <w:rsid w:val="006E762C"/>
    <w:rsid w:val="006F26B9"/>
    <w:rsid w:val="006F4651"/>
    <w:rsid w:val="00701F53"/>
    <w:rsid w:val="00711E71"/>
    <w:rsid w:val="00712315"/>
    <w:rsid w:val="00712560"/>
    <w:rsid w:val="00712D1A"/>
    <w:rsid w:val="007160F5"/>
    <w:rsid w:val="007215EB"/>
    <w:rsid w:val="00721B8F"/>
    <w:rsid w:val="00721CE1"/>
    <w:rsid w:val="007222BE"/>
    <w:rsid w:val="007248D8"/>
    <w:rsid w:val="007328F0"/>
    <w:rsid w:val="0074271F"/>
    <w:rsid w:val="00753597"/>
    <w:rsid w:val="00756887"/>
    <w:rsid w:val="0075705C"/>
    <w:rsid w:val="00766FBF"/>
    <w:rsid w:val="00782091"/>
    <w:rsid w:val="007862D4"/>
    <w:rsid w:val="00791581"/>
    <w:rsid w:val="00795557"/>
    <w:rsid w:val="007A011E"/>
    <w:rsid w:val="007A2A6F"/>
    <w:rsid w:val="007B0C67"/>
    <w:rsid w:val="007B32D0"/>
    <w:rsid w:val="007C4128"/>
    <w:rsid w:val="007C522F"/>
    <w:rsid w:val="007C685B"/>
    <w:rsid w:val="007D03A5"/>
    <w:rsid w:val="007D670B"/>
    <w:rsid w:val="007E788B"/>
    <w:rsid w:val="00800C91"/>
    <w:rsid w:val="00806187"/>
    <w:rsid w:val="008145EF"/>
    <w:rsid w:val="00821F64"/>
    <w:rsid w:val="00823279"/>
    <w:rsid w:val="00823BB8"/>
    <w:rsid w:val="00824963"/>
    <w:rsid w:val="00825298"/>
    <w:rsid w:val="00827F69"/>
    <w:rsid w:val="0083080A"/>
    <w:rsid w:val="008334AD"/>
    <w:rsid w:val="008352EC"/>
    <w:rsid w:val="00845055"/>
    <w:rsid w:val="00850697"/>
    <w:rsid w:val="00866B93"/>
    <w:rsid w:val="00877040"/>
    <w:rsid w:val="008775C7"/>
    <w:rsid w:val="00881ECD"/>
    <w:rsid w:val="00885D5B"/>
    <w:rsid w:val="008B228F"/>
    <w:rsid w:val="008B6685"/>
    <w:rsid w:val="008B70EA"/>
    <w:rsid w:val="008C10B3"/>
    <w:rsid w:val="008C20E4"/>
    <w:rsid w:val="008C778F"/>
    <w:rsid w:val="008C7D43"/>
    <w:rsid w:val="008D1D64"/>
    <w:rsid w:val="008D1DC7"/>
    <w:rsid w:val="008D7640"/>
    <w:rsid w:val="008E50EE"/>
    <w:rsid w:val="008E7F44"/>
    <w:rsid w:val="008F346E"/>
    <w:rsid w:val="008F3D9C"/>
    <w:rsid w:val="00901647"/>
    <w:rsid w:val="00912722"/>
    <w:rsid w:val="00915F35"/>
    <w:rsid w:val="00924C8B"/>
    <w:rsid w:val="00941D83"/>
    <w:rsid w:val="00950807"/>
    <w:rsid w:val="00953262"/>
    <w:rsid w:val="00954229"/>
    <w:rsid w:val="00960ADC"/>
    <w:rsid w:val="00963B37"/>
    <w:rsid w:val="00966661"/>
    <w:rsid w:val="009753A3"/>
    <w:rsid w:val="00983CB1"/>
    <w:rsid w:val="00986E9D"/>
    <w:rsid w:val="009909C5"/>
    <w:rsid w:val="0099239D"/>
    <w:rsid w:val="0099597D"/>
    <w:rsid w:val="009967C3"/>
    <w:rsid w:val="00996F61"/>
    <w:rsid w:val="009A03AF"/>
    <w:rsid w:val="009A0BA5"/>
    <w:rsid w:val="009A1C42"/>
    <w:rsid w:val="009A5980"/>
    <w:rsid w:val="009A622E"/>
    <w:rsid w:val="009B21C5"/>
    <w:rsid w:val="009B236F"/>
    <w:rsid w:val="009B61CB"/>
    <w:rsid w:val="009B6B6C"/>
    <w:rsid w:val="009C3C59"/>
    <w:rsid w:val="009C6653"/>
    <w:rsid w:val="009C79A2"/>
    <w:rsid w:val="009D42D9"/>
    <w:rsid w:val="009D6669"/>
    <w:rsid w:val="009E137E"/>
    <w:rsid w:val="009E3298"/>
    <w:rsid w:val="009E6E99"/>
    <w:rsid w:val="009F2D20"/>
    <w:rsid w:val="009F42CD"/>
    <w:rsid w:val="00A0305A"/>
    <w:rsid w:val="00A0354A"/>
    <w:rsid w:val="00A0443C"/>
    <w:rsid w:val="00A04848"/>
    <w:rsid w:val="00A07482"/>
    <w:rsid w:val="00A10753"/>
    <w:rsid w:val="00A15C3B"/>
    <w:rsid w:val="00A21F53"/>
    <w:rsid w:val="00A22348"/>
    <w:rsid w:val="00A2290D"/>
    <w:rsid w:val="00A23043"/>
    <w:rsid w:val="00A246FA"/>
    <w:rsid w:val="00A252CE"/>
    <w:rsid w:val="00A255D7"/>
    <w:rsid w:val="00A30F12"/>
    <w:rsid w:val="00A32FBE"/>
    <w:rsid w:val="00A42E68"/>
    <w:rsid w:val="00A4364A"/>
    <w:rsid w:val="00A5363A"/>
    <w:rsid w:val="00A65E3D"/>
    <w:rsid w:val="00A65FE0"/>
    <w:rsid w:val="00A71AE4"/>
    <w:rsid w:val="00A71B2F"/>
    <w:rsid w:val="00A72454"/>
    <w:rsid w:val="00A731BF"/>
    <w:rsid w:val="00A8083B"/>
    <w:rsid w:val="00A8131F"/>
    <w:rsid w:val="00A91408"/>
    <w:rsid w:val="00A92110"/>
    <w:rsid w:val="00A940CF"/>
    <w:rsid w:val="00A9705C"/>
    <w:rsid w:val="00AA1693"/>
    <w:rsid w:val="00AA1A24"/>
    <w:rsid w:val="00AA36AF"/>
    <w:rsid w:val="00AA43A4"/>
    <w:rsid w:val="00AA7E22"/>
    <w:rsid w:val="00AB0947"/>
    <w:rsid w:val="00AB0F1F"/>
    <w:rsid w:val="00AB48A4"/>
    <w:rsid w:val="00AB7F5A"/>
    <w:rsid w:val="00AC3123"/>
    <w:rsid w:val="00AC698B"/>
    <w:rsid w:val="00AD5457"/>
    <w:rsid w:val="00AD6817"/>
    <w:rsid w:val="00AE0156"/>
    <w:rsid w:val="00AE0693"/>
    <w:rsid w:val="00AE10C5"/>
    <w:rsid w:val="00AE7768"/>
    <w:rsid w:val="00AF5066"/>
    <w:rsid w:val="00B01BFA"/>
    <w:rsid w:val="00B05CDC"/>
    <w:rsid w:val="00B15882"/>
    <w:rsid w:val="00B1625B"/>
    <w:rsid w:val="00B25338"/>
    <w:rsid w:val="00B25572"/>
    <w:rsid w:val="00B3434B"/>
    <w:rsid w:val="00B34FBA"/>
    <w:rsid w:val="00B364DD"/>
    <w:rsid w:val="00B37193"/>
    <w:rsid w:val="00B37806"/>
    <w:rsid w:val="00B378E1"/>
    <w:rsid w:val="00B42FBA"/>
    <w:rsid w:val="00B5066A"/>
    <w:rsid w:val="00B510EF"/>
    <w:rsid w:val="00B53150"/>
    <w:rsid w:val="00B56F27"/>
    <w:rsid w:val="00B6074B"/>
    <w:rsid w:val="00B64DB1"/>
    <w:rsid w:val="00B739FE"/>
    <w:rsid w:val="00B77C17"/>
    <w:rsid w:val="00B8126E"/>
    <w:rsid w:val="00B86D81"/>
    <w:rsid w:val="00B90F9B"/>
    <w:rsid w:val="00BA3AC5"/>
    <w:rsid w:val="00BA537B"/>
    <w:rsid w:val="00BB0A50"/>
    <w:rsid w:val="00BB68CD"/>
    <w:rsid w:val="00BB6D1A"/>
    <w:rsid w:val="00BB6FF3"/>
    <w:rsid w:val="00BB7077"/>
    <w:rsid w:val="00BC13F0"/>
    <w:rsid w:val="00BC4B8C"/>
    <w:rsid w:val="00BC53D9"/>
    <w:rsid w:val="00BC57BA"/>
    <w:rsid w:val="00BD2CD2"/>
    <w:rsid w:val="00BD5C2C"/>
    <w:rsid w:val="00BD6E7F"/>
    <w:rsid w:val="00BE1098"/>
    <w:rsid w:val="00BE2D0D"/>
    <w:rsid w:val="00BE461C"/>
    <w:rsid w:val="00BF077F"/>
    <w:rsid w:val="00BF3272"/>
    <w:rsid w:val="00BF485D"/>
    <w:rsid w:val="00BF48BA"/>
    <w:rsid w:val="00C05902"/>
    <w:rsid w:val="00C1160A"/>
    <w:rsid w:val="00C20777"/>
    <w:rsid w:val="00C21002"/>
    <w:rsid w:val="00C244C0"/>
    <w:rsid w:val="00C277A6"/>
    <w:rsid w:val="00C27E83"/>
    <w:rsid w:val="00C4023D"/>
    <w:rsid w:val="00C42B68"/>
    <w:rsid w:val="00C42B7A"/>
    <w:rsid w:val="00C472A0"/>
    <w:rsid w:val="00C5071F"/>
    <w:rsid w:val="00C67BC8"/>
    <w:rsid w:val="00C7159F"/>
    <w:rsid w:val="00C72C04"/>
    <w:rsid w:val="00C730DD"/>
    <w:rsid w:val="00C73D08"/>
    <w:rsid w:val="00C75883"/>
    <w:rsid w:val="00C75E63"/>
    <w:rsid w:val="00C77617"/>
    <w:rsid w:val="00C80E67"/>
    <w:rsid w:val="00C83C1D"/>
    <w:rsid w:val="00C873F6"/>
    <w:rsid w:val="00C93DD9"/>
    <w:rsid w:val="00C96B33"/>
    <w:rsid w:val="00CA6F33"/>
    <w:rsid w:val="00CA7A95"/>
    <w:rsid w:val="00CB05DD"/>
    <w:rsid w:val="00CB0AE0"/>
    <w:rsid w:val="00CB439A"/>
    <w:rsid w:val="00CB5937"/>
    <w:rsid w:val="00CB7E87"/>
    <w:rsid w:val="00CC081F"/>
    <w:rsid w:val="00CD113F"/>
    <w:rsid w:val="00CD61AE"/>
    <w:rsid w:val="00CE55D2"/>
    <w:rsid w:val="00CE5733"/>
    <w:rsid w:val="00CE67C8"/>
    <w:rsid w:val="00CE72BE"/>
    <w:rsid w:val="00CF35F2"/>
    <w:rsid w:val="00CF3A0C"/>
    <w:rsid w:val="00CF50F8"/>
    <w:rsid w:val="00CF7968"/>
    <w:rsid w:val="00D0128C"/>
    <w:rsid w:val="00D04F7B"/>
    <w:rsid w:val="00D129CF"/>
    <w:rsid w:val="00D13421"/>
    <w:rsid w:val="00D1462E"/>
    <w:rsid w:val="00D23D0C"/>
    <w:rsid w:val="00D25D30"/>
    <w:rsid w:val="00D269FD"/>
    <w:rsid w:val="00D35661"/>
    <w:rsid w:val="00D35FD3"/>
    <w:rsid w:val="00D405DE"/>
    <w:rsid w:val="00D45BDC"/>
    <w:rsid w:val="00D46478"/>
    <w:rsid w:val="00D46739"/>
    <w:rsid w:val="00D529CE"/>
    <w:rsid w:val="00D63F3D"/>
    <w:rsid w:val="00D64936"/>
    <w:rsid w:val="00D64A3D"/>
    <w:rsid w:val="00D67994"/>
    <w:rsid w:val="00D67B7B"/>
    <w:rsid w:val="00D71540"/>
    <w:rsid w:val="00D7667D"/>
    <w:rsid w:val="00D77A62"/>
    <w:rsid w:val="00D8016D"/>
    <w:rsid w:val="00D85A4B"/>
    <w:rsid w:val="00D86F7B"/>
    <w:rsid w:val="00D870E0"/>
    <w:rsid w:val="00D95425"/>
    <w:rsid w:val="00D95C44"/>
    <w:rsid w:val="00D961B9"/>
    <w:rsid w:val="00DA7D8F"/>
    <w:rsid w:val="00DB09BF"/>
    <w:rsid w:val="00DC0CFD"/>
    <w:rsid w:val="00DC11DE"/>
    <w:rsid w:val="00DC255A"/>
    <w:rsid w:val="00DC623F"/>
    <w:rsid w:val="00DD3D6E"/>
    <w:rsid w:val="00DD57C6"/>
    <w:rsid w:val="00DE7A2D"/>
    <w:rsid w:val="00DF02A7"/>
    <w:rsid w:val="00DF767D"/>
    <w:rsid w:val="00DF7FE1"/>
    <w:rsid w:val="00E04B5A"/>
    <w:rsid w:val="00E06B34"/>
    <w:rsid w:val="00E11FCD"/>
    <w:rsid w:val="00E1228A"/>
    <w:rsid w:val="00E146E3"/>
    <w:rsid w:val="00E16019"/>
    <w:rsid w:val="00E179FC"/>
    <w:rsid w:val="00E23907"/>
    <w:rsid w:val="00E355AC"/>
    <w:rsid w:val="00E36698"/>
    <w:rsid w:val="00E47DA5"/>
    <w:rsid w:val="00E53772"/>
    <w:rsid w:val="00E5497B"/>
    <w:rsid w:val="00E56F89"/>
    <w:rsid w:val="00E57DB1"/>
    <w:rsid w:val="00E65216"/>
    <w:rsid w:val="00E72890"/>
    <w:rsid w:val="00E744B3"/>
    <w:rsid w:val="00E76BE5"/>
    <w:rsid w:val="00E81399"/>
    <w:rsid w:val="00E81B69"/>
    <w:rsid w:val="00E82A2A"/>
    <w:rsid w:val="00E872F9"/>
    <w:rsid w:val="00E87C12"/>
    <w:rsid w:val="00E87F26"/>
    <w:rsid w:val="00E9034B"/>
    <w:rsid w:val="00E93268"/>
    <w:rsid w:val="00EA0E1B"/>
    <w:rsid w:val="00EA1DF6"/>
    <w:rsid w:val="00EA2003"/>
    <w:rsid w:val="00EC5956"/>
    <w:rsid w:val="00EC6666"/>
    <w:rsid w:val="00EC67D6"/>
    <w:rsid w:val="00ED0886"/>
    <w:rsid w:val="00ED1DF8"/>
    <w:rsid w:val="00ED3932"/>
    <w:rsid w:val="00ED4BD4"/>
    <w:rsid w:val="00ED6A62"/>
    <w:rsid w:val="00ED6DCC"/>
    <w:rsid w:val="00ED6F0B"/>
    <w:rsid w:val="00EE16E8"/>
    <w:rsid w:val="00EE1E83"/>
    <w:rsid w:val="00EE491A"/>
    <w:rsid w:val="00EE4936"/>
    <w:rsid w:val="00EE5A0E"/>
    <w:rsid w:val="00EF2812"/>
    <w:rsid w:val="00F04721"/>
    <w:rsid w:val="00F06C6C"/>
    <w:rsid w:val="00F076D1"/>
    <w:rsid w:val="00F13294"/>
    <w:rsid w:val="00F23FCC"/>
    <w:rsid w:val="00F27514"/>
    <w:rsid w:val="00F37ED5"/>
    <w:rsid w:val="00F42D63"/>
    <w:rsid w:val="00F43EEC"/>
    <w:rsid w:val="00F465B7"/>
    <w:rsid w:val="00F515E8"/>
    <w:rsid w:val="00F5241C"/>
    <w:rsid w:val="00F55080"/>
    <w:rsid w:val="00F63703"/>
    <w:rsid w:val="00F66C98"/>
    <w:rsid w:val="00F67236"/>
    <w:rsid w:val="00F71388"/>
    <w:rsid w:val="00F7409F"/>
    <w:rsid w:val="00F76370"/>
    <w:rsid w:val="00F7779F"/>
    <w:rsid w:val="00F8533A"/>
    <w:rsid w:val="00F91647"/>
    <w:rsid w:val="00F91CAB"/>
    <w:rsid w:val="00F92779"/>
    <w:rsid w:val="00F93DFD"/>
    <w:rsid w:val="00F969A8"/>
    <w:rsid w:val="00F96C68"/>
    <w:rsid w:val="00F973EB"/>
    <w:rsid w:val="00FA1F9C"/>
    <w:rsid w:val="00FA4F33"/>
    <w:rsid w:val="00FA65B6"/>
    <w:rsid w:val="00FA761B"/>
    <w:rsid w:val="00FA76E5"/>
    <w:rsid w:val="00FB1B7F"/>
    <w:rsid w:val="00FB43E0"/>
    <w:rsid w:val="00FB4944"/>
    <w:rsid w:val="00FB569C"/>
    <w:rsid w:val="00FB676F"/>
    <w:rsid w:val="00FC5914"/>
    <w:rsid w:val="00FD0936"/>
    <w:rsid w:val="00FE1ED3"/>
    <w:rsid w:val="00FE2E7E"/>
    <w:rsid w:val="00FE55D0"/>
    <w:rsid w:val="00FE7C73"/>
    <w:rsid w:val="00FF42C3"/>
    <w:rsid w:val="00FF49BD"/>
    <w:rsid w:val="00FF5EB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5D30"/>
    <w:rPr>
      <w:sz w:val="24"/>
      <w:szCs w:val="24"/>
    </w:rPr>
  </w:style>
  <w:style w:type="paragraph" w:styleId="1">
    <w:name w:val="heading 1"/>
    <w:basedOn w:val="a0"/>
    <w:next w:val="a0"/>
    <w:qFormat/>
    <w:rsid w:val="00800C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ример"/>
    <w:basedOn w:val="a0"/>
    <w:autoRedefine/>
    <w:rsid w:val="006A64E8"/>
    <w:pPr>
      <w:numPr>
        <w:numId w:val="2"/>
      </w:numPr>
      <w:spacing w:after="60"/>
      <w:ind w:left="357" w:hanging="357"/>
      <w:jc w:val="both"/>
    </w:pPr>
    <w:rPr>
      <w:sz w:val="20"/>
      <w:szCs w:val="20"/>
    </w:rPr>
  </w:style>
  <w:style w:type="paragraph" w:styleId="a4">
    <w:name w:val="footer"/>
    <w:basedOn w:val="a0"/>
    <w:rsid w:val="00C72C04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C72C04"/>
  </w:style>
  <w:style w:type="table" w:styleId="a6">
    <w:name w:val="Table Grid"/>
    <w:basedOn w:val="a2"/>
    <w:rsid w:val="00461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rsid w:val="00E146E3"/>
    <w:rPr>
      <w:color w:val="0000FF"/>
      <w:u w:val="single"/>
    </w:rPr>
  </w:style>
  <w:style w:type="paragraph" w:styleId="a8">
    <w:name w:val="caption"/>
    <w:basedOn w:val="a0"/>
    <w:next w:val="a0"/>
    <w:qFormat/>
    <w:rsid w:val="00AE0156"/>
    <w:pPr>
      <w:spacing w:before="120" w:after="120"/>
    </w:pPr>
    <w:rPr>
      <w:b/>
      <w:bCs/>
      <w:szCs w:val="20"/>
    </w:rPr>
  </w:style>
  <w:style w:type="character" w:styleId="a9">
    <w:name w:val="FollowedHyperlink"/>
    <w:basedOn w:val="a1"/>
    <w:rsid w:val="00821F64"/>
    <w:rPr>
      <w:color w:val="8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5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515E8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AB7F5A"/>
    <w:pPr>
      <w:spacing w:before="100" w:beforeAutospacing="1" w:after="100" w:afterAutospacing="1"/>
    </w:pPr>
  </w:style>
  <w:style w:type="paragraph" w:styleId="ad">
    <w:name w:val="List Paragraph"/>
    <w:basedOn w:val="a0"/>
    <w:uiPriority w:val="34"/>
    <w:qFormat/>
    <w:rsid w:val="00157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0086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37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0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5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6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5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1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3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ППС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3.2481381879079889E-2"/>
                  <c:y val="4.4134727061556543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>
                        <a:solidFill>
                          <a:srgbClr val="FF0000"/>
                        </a:solidFill>
                      </a:rPr>
                      <a:t>808</a:t>
                    </a:r>
                    <a:endParaRPr lang="en-US" sz="1200" dirty="0">
                      <a:solidFill>
                        <a:srgbClr val="FF0000"/>
                      </a:solidFill>
                    </a:endParaRPr>
                  </a:p>
                </c:rich>
              </c:tx>
              <c:showVal val="1"/>
            </c:dLbl>
            <c:dLbl>
              <c:idx val="11"/>
              <c:layout>
                <c:manualLayout>
                  <c:x val="-4.1666714869670433E-2"/>
                  <c:y val="-3.9488966318234682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rgbClr val="FF0000"/>
                        </a:solidFill>
                      </a:defRPr>
                    </a:pPr>
                    <a:r>
                      <a:rPr lang="en-US" sz="1200"/>
                      <a:t>791</a:t>
                    </a:r>
                  </a:p>
                </c:rich>
              </c:tx>
              <c:spPr/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</c:formatCode>
                <c:ptCount val="12"/>
                <c:pt idx="0">
                  <c:v>807.7</c:v>
                </c:pt>
                <c:pt idx="1">
                  <c:v>804.77000000000055</c:v>
                </c:pt>
                <c:pt idx="2">
                  <c:v>802.71</c:v>
                </c:pt>
                <c:pt idx="3">
                  <c:v>802.94999999999948</c:v>
                </c:pt>
                <c:pt idx="4">
                  <c:v>805.23</c:v>
                </c:pt>
                <c:pt idx="5">
                  <c:v>805.23</c:v>
                </c:pt>
                <c:pt idx="6">
                  <c:v>803.04</c:v>
                </c:pt>
                <c:pt idx="7">
                  <c:v>796.26</c:v>
                </c:pt>
                <c:pt idx="8">
                  <c:v>795.58</c:v>
                </c:pt>
                <c:pt idx="9">
                  <c:v>795.64</c:v>
                </c:pt>
                <c:pt idx="10">
                  <c:v>792.89</c:v>
                </c:pt>
                <c:pt idx="11">
                  <c:v>791.1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АУП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pPr>
              <a:solidFill>
                <a:schemeClr val="tx1">
                  <a:lumMod val="75000"/>
                  <a:lumOff val="25000"/>
                </a:schemeClr>
              </a:solidFill>
            </c:spPr>
          </c:marker>
          <c:dLbls>
            <c:dLbl>
              <c:idx val="0"/>
              <c:layout>
                <c:manualLayout>
                  <c:x val="-3.0568262510009922E-2"/>
                  <c:y val="5.807200929152162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rPr>
                      <a:t>436</a:t>
                    </a:r>
                    <a:endParaRPr lang="en-US" sz="1200" dirty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endParaRPr>
                  </a:p>
                </c:rich>
              </c:tx>
              <c:showVal val="1"/>
            </c:dLbl>
            <c:dLbl>
              <c:idx val="11"/>
              <c:layout>
                <c:manualLayout>
                  <c:x val="-4.1666714869670433E-2"/>
                  <c:y val="4.6457607433217134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rPr>
                      <a:t>427</a:t>
                    </a:r>
                    <a:endParaRPr lang="en-US" sz="1200" dirty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0</c:formatCode>
                <c:ptCount val="12"/>
                <c:pt idx="0">
                  <c:v>435.75</c:v>
                </c:pt>
                <c:pt idx="1">
                  <c:v>436.75</c:v>
                </c:pt>
                <c:pt idx="2">
                  <c:v>435.75</c:v>
                </c:pt>
                <c:pt idx="3">
                  <c:v>431.75</c:v>
                </c:pt>
                <c:pt idx="4">
                  <c:v>436.75</c:v>
                </c:pt>
                <c:pt idx="5">
                  <c:v>428.75</c:v>
                </c:pt>
                <c:pt idx="6">
                  <c:v>432.75</c:v>
                </c:pt>
                <c:pt idx="7">
                  <c:v>423.25</c:v>
                </c:pt>
                <c:pt idx="8">
                  <c:v>418</c:v>
                </c:pt>
                <c:pt idx="9">
                  <c:v>420.5</c:v>
                </c:pt>
                <c:pt idx="10">
                  <c:v>425</c:v>
                </c:pt>
                <c:pt idx="11">
                  <c:v>426.5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УВП</c:v>
                </c:pt>
              </c:strCache>
            </c:strRef>
          </c:tx>
          <c:dLbls>
            <c:dLbl>
              <c:idx val="0"/>
              <c:layout>
                <c:manualLayout>
                  <c:x val="2.780079310522765E-3"/>
                  <c:y val="-4.1812029593861919E-2"/>
                </c:manualLayout>
              </c:layout>
              <c:tx>
                <c:rich>
                  <a:bodyPr/>
                  <a:lstStyle/>
                  <a:p>
                    <a:r>
                      <a:rPr lang="en-US" sz="1200" dirty="0" smtClean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8</a:t>
                    </a:r>
                    <a:r>
                      <a:rPr lang="ru-RU" sz="1200" dirty="0" smtClean="0">
                        <a:solidFill>
                          <a:schemeClr val="accent3">
                            <a:lumMod val="75000"/>
                          </a:schemeClr>
                        </a:solidFill>
                      </a:rPr>
                      <a:t>21</a:t>
                    </a:r>
                    <a:endParaRPr lang="en-US" sz="1200" dirty="0">
                      <a:solidFill>
                        <a:schemeClr val="accent3">
                          <a:lumMod val="75000"/>
                        </a:schemeClr>
                      </a:solidFill>
                    </a:endParaRPr>
                  </a:p>
                </c:rich>
              </c:tx>
              <c:showVal val="1"/>
            </c:dLbl>
            <c:dLbl>
              <c:idx val="11"/>
              <c:layout>
                <c:manualLayout>
                  <c:x val="-4.1666714869670433E-2"/>
                  <c:y val="3.7166085946573835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>
                        <a:solidFill>
                          <a:srgbClr val="C00000"/>
                        </a:solidFill>
                      </a:rPr>
                      <a:t>719</a:t>
                    </a:r>
                    <a:endParaRPr lang="en-US" sz="1200" dirty="0">
                      <a:solidFill>
                        <a:srgbClr val="C00000"/>
                      </a:solidFill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0</c:formatCode>
                <c:ptCount val="12"/>
                <c:pt idx="0">
                  <c:v>820.68000000000052</c:v>
                </c:pt>
                <c:pt idx="1">
                  <c:v>814.82999999999947</c:v>
                </c:pt>
                <c:pt idx="2">
                  <c:v>813.32999999999947</c:v>
                </c:pt>
                <c:pt idx="3">
                  <c:v>803.82999999999947</c:v>
                </c:pt>
                <c:pt idx="4">
                  <c:v>792.32999999999947</c:v>
                </c:pt>
                <c:pt idx="5">
                  <c:v>775.32999999999947</c:v>
                </c:pt>
                <c:pt idx="6">
                  <c:v>765.32999999999947</c:v>
                </c:pt>
                <c:pt idx="7">
                  <c:v>737.13</c:v>
                </c:pt>
                <c:pt idx="8">
                  <c:v>716.78000000000054</c:v>
                </c:pt>
                <c:pt idx="9">
                  <c:v>720.05</c:v>
                </c:pt>
                <c:pt idx="10">
                  <c:v>715.05</c:v>
                </c:pt>
                <c:pt idx="11">
                  <c:v>718.55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ПОП</c:v>
                </c:pt>
              </c:strCache>
            </c:strRef>
          </c:tx>
          <c:dLbls>
            <c:dLbl>
              <c:idx val="0"/>
              <c:layout>
                <c:manualLayout>
                  <c:x val="-2.8073699230379296E-2"/>
                  <c:y val="-4.6457607433217578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t>516</a:t>
                    </a:r>
                    <a:endParaRPr lang="en-US" sz="1200" b="1" dirty="0">
                      <a:solidFill>
                        <a:schemeClr val="accent4">
                          <a:lumMod val="75000"/>
                        </a:schemeClr>
                      </a:solidFill>
                    </a:endParaRPr>
                  </a:p>
                </c:rich>
              </c:tx>
              <c:showVal val="1"/>
            </c:dLbl>
            <c:dLbl>
              <c:idx val="11"/>
              <c:layout>
                <c:manualLayout>
                  <c:x val="-3.2407407407407718E-2"/>
                  <c:y val="-3.2520325203252036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dirty="0" smtClean="0">
                        <a:solidFill>
                          <a:schemeClr val="accent4">
                            <a:lumMod val="75000"/>
                          </a:schemeClr>
                        </a:solidFill>
                      </a:rPr>
                      <a:t>467</a:t>
                    </a:r>
                    <a:endParaRPr lang="en-US" sz="1200" b="1" dirty="0">
                      <a:solidFill>
                        <a:schemeClr val="accent4">
                          <a:lumMod val="75000"/>
                        </a:schemeClr>
                      </a:solidFill>
                    </a:endParaRPr>
                  </a:p>
                </c:rich>
              </c:tx>
              <c:showVal val="1"/>
            </c:dLbl>
            <c:delete val="1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0</c:formatCode>
                <c:ptCount val="12"/>
                <c:pt idx="0">
                  <c:v>515.5</c:v>
                </c:pt>
                <c:pt idx="1">
                  <c:v>513.5</c:v>
                </c:pt>
                <c:pt idx="2">
                  <c:v>508</c:v>
                </c:pt>
                <c:pt idx="3">
                  <c:v>504.75</c:v>
                </c:pt>
                <c:pt idx="4">
                  <c:v>503.25</c:v>
                </c:pt>
                <c:pt idx="5">
                  <c:v>508.75</c:v>
                </c:pt>
                <c:pt idx="6">
                  <c:v>505.75</c:v>
                </c:pt>
                <c:pt idx="7">
                  <c:v>481.25</c:v>
                </c:pt>
                <c:pt idx="8">
                  <c:v>462.25</c:v>
                </c:pt>
                <c:pt idx="9">
                  <c:v>469.25</c:v>
                </c:pt>
                <c:pt idx="10">
                  <c:v>472.75</c:v>
                </c:pt>
                <c:pt idx="11">
                  <c:v>466.75</c:v>
                </c:pt>
              </c:numCache>
            </c:numRef>
          </c:val>
        </c:ser>
        <c:marker val="1"/>
        <c:axId val="90358912"/>
        <c:axId val="90360448"/>
      </c:lineChart>
      <c:catAx>
        <c:axId val="903589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0360448"/>
        <c:crosses val="autoZero"/>
        <c:auto val="1"/>
        <c:lblAlgn val="ctr"/>
        <c:lblOffset val="100"/>
      </c:catAx>
      <c:valAx>
        <c:axId val="90360448"/>
        <c:scaling>
          <c:orientation val="minMax"/>
          <c:min val="300"/>
        </c:scaling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0" sourceLinked="1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90358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772370467581118"/>
          <c:y val="0.36464911434011354"/>
          <c:w val="0.10612970988656056"/>
          <c:h val="0.5453635361135879"/>
        </c:manualLayout>
      </c:layout>
      <c:txPr>
        <a:bodyPr/>
        <a:lstStyle/>
        <a:p>
          <a:pPr>
            <a:defRPr sz="74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0.48636</cdr:x>
      <cdr:y>0.07125</cdr:y>
    </cdr:from>
    <cdr:to>
      <cdr:x>0.59921</cdr:x>
      <cdr:y>0.14965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61545" y="166819"/>
          <a:ext cx="524745" cy="1835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rgbClr val="FF0000"/>
              </a:solidFill>
              <a:latin typeface="Arial" pitchFamily="34" charset="0"/>
              <a:cs typeface="Arial" pitchFamily="34" charset="0"/>
            </a:rPr>
            <a:t>ППС</a:t>
          </a:r>
          <a:endParaRPr lang="ru-RU" sz="1200" dirty="0">
            <a:solidFill>
              <a:srgbClr val="FF0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0.39669</cdr:x>
      <cdr:y>0.22213</cdr:y>
    </cdr:from>
    <cdr:to>
      <cdr:x>0.50954</cdr:x>
      <cdr:y>0.30052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29024" y="1214446"/>
          <a:ext cx="975476" cy="4285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rgbClr val="C00000"/>
              </a:solidFill>
              <a:latin typeface="Arial" pitchFamily="34" charset="0"/>
              <a:cs typeface="Arial" pitchFamily="34" charset="0"/>
            </a:rPr>
            <a:t>УВП</a:t>
          </a:r>
        </a:p>
      </cdr:txBody>
    </cdr:sp>
  </cdr:relSizeAnchor>
  <cdr:relSizeAnchor xmlns:cdr="http://schemas.openxmlformats.org/drawingml/2006/chartDrawing">
    <cdr:from>
      <cdr:x>0.20661</cdr:x>
      <cdr:y>0.43119</cdr:y>
    </cdr:from>
    <cdr:to>
      <cdr:x>0.31946</cdr:x>
      <cdr:y>0.50959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785950" y="2357454"/>
          <a:ext cx="975476" cy="4286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rgbClr val="FFC000"/>
              </a:solidFill>
              <a:latin typeface="Arial" pitchFamily="34" charset="0"/>
              <a:cs typeface="Arial" pitchFamily="34" charset="0"/>
            </a:rPr>
            <a:t>ПОП</a:t>
          </a:r>
          <a:endParaRPr lang="ru-RU" sz="1200" dirty="0">
            <a:solidFill>
              <a:srgbClr val="FFC000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0.17361</cdr:x>
      <cdr:y>0.52265</cdr:y>
    </cdr:from>
    <cdr:to>
      <cdr:x>0.28646</cdr:x>
      <cdr:y>0.60105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28760" y="2857520"/>
          <a:ext cx="928694" cy="428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chemeClr val="tx1">
                  <a:lumMod val="75000"/>
                  <a:lumOff val="25000"/>
                </a:schemeClr>
              </a:solidFill>
              <a:latin typeface="Arial" pitchFamily="34" charset="0"/>
              <a:cs typeface="Arial" pitchFamily="34" charset="0"/>
            </a:rPr>
            <a:t>АУП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747A-9E3E-49CF-9C4C-BDE53471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Анисимов А</vt:lpstr>
    </vt:vector>
  </TitlesOfParts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Анисимов А</dc:title>
  <dc:creator>Formoza_DD1</dc:creator>
  <cp:lastModifiedBy>user</cp:lastModifiedBy>
  <cp:revision>3</cp:revision>
  <dcterms:created xsi:type="dcterms:W3CDTF">2013-02-15T13:23:00Z</dcterms:created>
  <dcterms:modified xsi:type="dcterms:W3CDTF">2013-02-15T13:25:00Z</dcterms:modified>
</cp:coreProperties>
</file>