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25" w:rsidRDefault="00DD6225" w:rsidP="00DD6225">
      <w:pPr>
        <w:pStyle w:val="2"/>
        <w:jc w:val="center"/>
      </w:pPr>
      <w:r>
        <w:t>А.Е. Анисимов</w:t>
      </w:r>
    </w:p>
    <w:p w:rsidR="00DD6225" w:rsidRPr="00DD6225" w:rsidRDefault="00DD6225" w:rsidP="00555A16">
      <w:pPr>
        <w:pStyle w:val="2"/>
        <w:ind w:firstLine="0"/>
        <w:jc w:val="center"/>
      </w:pPr>
      <w:r w:rsidRPr="00DD6225">
        <w:t>ЗАМЕЧАНИЯ И ПРЕДЛОЖЕНИЯ</w:t>
      </w:r>
      <w:r w:rsidRPr="00DD6225">
        <w:br/>
        <w:t>в проект «СТРАТЕГИ</w:t>
      </w:r>
      <w:r>
        <w:t>И</w:t>
      </w:r>
      <w:r w:rsidRPr="00DD6225">
        <w:t xml:space="preserve"> РАЗВИТИЯФГБОУ ВПО «УДМУРТСКИЙ ГОСУДАРСТВЕННЫЙ УНИВЕРСИТЕТ» НА 2013-2018 гг.</w:t>
      </w:r>
      <w:r>
        <w:t>»</w:t>
      </w:r>
    </w:p>
    <w:p w:rsidR="00303D90" w:rsidRDefault="00303D90" w:rsidP="00DD6225"/>
    <w:p w:rsidR="00DD6225" w:rsidRDefault="003C6AAD" w:rsidP="003C6AAD">
      <w:pPr>
        <w:pStyle w:val="3"/>
      </w:pPr>
      <w:r>
        <w:t>Раздел 4.8</w:t>
      </w:r>
    </w:p>
    <w:p w:rsidR="003C6AAD" w:rsidRDefault="003C6AAD" w:rsidP="00DD6225">
      <w:r>
        <w:t xml:space="preserve">В предложенной редакции </w:t>
      </w:r>
      <w:r w:rsidR="00A714C1">
        <w:t xml:space="preserve">раздела 4.8 </w:t>
      </w:r>
      <w:r>
        <w:t>стратегия развития системы оплаты труда на основе эффективного контракта выглядит исключительно несбалансированной.</w:t>
      </w:r>
    </w:p>
    <w:p w:rsidR="003C6AAD" w:rsidRDefault="003C6AAD" w:rsidP="00DD6225">
      <w:r>
        <w:t xml:space="preserve">Во-первых, стимулирующая часть заработной платы сводится к оценке результативности </w:t>
      </w:r>
      <w:r w:rsidR="005574CF">
        <w:t xml:space="preserve">только </w:t>
      </w:r>
      <w:r>
        <w:t>одного из видов деятельности преподавателя и руководителя подразделения – научной деятельности. Безусловно</w:t>
      </w:r>
      <w:r w:rsidR="00A714C1">
        <w:t>,</w:t>
      </w:r>
      <w:r>
        <w:t xml:space="preserve"> не отрицая важность и необходимость </w:t>
      </w:r>
      <w:r w:rsidR="005574CF">
        <w:t xml:space="preserve">стимулирования </w:t>
      </w:r>
      <w:r>
        <w:t xml:space="preserve">этого компонента </w:t>
      </w:r>
      <w:r w:rsidR="005574CF">
        <w:t xml:space="preserve">работы, необходимо не забывать и про остальные. Иначе – подобный перекос может привести к быстрой утрате заинтересованности преподавателей к повышению качества учебной, учебно-методической, организационной, профориентационной, воспитательной и других видов деятельности, перечень которых </w:t>
      </w:r>
      <w:r w:rsidR="00E76C73">
        <w:t xml:space="preserve">для преподавателей </w:t>
      </w:r>
      <w:r w:rsidR="005574CF">
        <w:t xml:space="preserve">определен в новом «Законе об образовании в РФ», Коллективном договоре УдГУ, ЕТКС и должностных инструкциях, закономерно снизит результативность по указанным направлениям. По опыту разработки </w:t>
      </w:r>
      <w:r w:rsidR="005574CF" w:rsidRPr="005574CF">
        <w:t xml:space="preserve">системы оплаты труда в УдГУ, </w:t>
      </w:r>
      <w:r w:rsidR="005574CF">
        <w:t xml:space="preserve">учитывая большой опыт ряда других организаций высшего образования, можно сделать вывод, что наиболее объективной и эффективной будет та система стимулирования, которая основана на сбалансированной совокупности формализованных индикативных критериев результативности и качества по всем видам деятельности ППС. Кроме этого, даже при </w:t>
      </w:r>
      <w:r w:rsidR="00E76C73">
        <w:t>подчеркивании</w:t>
      </w:r>
      <w:r w:rsidR="005574CF">
        <w:t xml:space="preserve"> </w:t>
      </w:r>
      <w:r w:rsidR="00E76C73">
        <w:t xml:space="preserve">особой </w:t>
      </w:r>
      <w:r w:rsidR="00555A16" w:rsidRPr="00555A16">
        <w:t>роли</w:t>
      </w:r>
      <w:r w:rsidR="005574CF">
        <w:t xml:space="preserve"> повышения качества и результатов </w:t>
      </w:r>
      <w:r w:rsidR="005574CF">
        <w:lastRenderedPageBreak/>
        <w:t xml:space="preserve">именно научной деятельности, учитывая статус и характер основного документа – Стратегии, такой однобокий подход </w:t>
      </w:r>
      <w:r w:rsidR="00E76C73">
        <w:t xml:space="preserve">фактически </w:t>
      </w:r>
      <w:r w:rsidR="005574CF">
        <w:t>становится единственным стратегическим путем, исключающим иные подходы. Чего делать нельзя.</w:t>
      </w:r>
      <w:r w:rsidR="000A46EB">
        <w:t xml:space="preserve"> Более того, система оценки эффективности той же научной деятельности сведена исключительно </w:t>
      </w:r>
      <w:r w:rsidR="00555A16">
        <w:t>всего к двум</w:t>
      </w:r>
      <w:r w:rsidR="000A46EB">
        <w:t xml:space="preserve"> </w:t>
      </w:r>
      <w:r w:rsidR="00555A16">
        <w:t xml:space="preserve">показателям - </w:t>
      </w:r>
      <w:r w:rsidR="000A46EB">
        <w:t>исчислени</w:t>
      </w:r>
      <w:r w:rsidR="00555A16">
        <w:t>ю</w:t>
      </w:r>
      <w:r w:rsidR="000A46EB">
        <w:t xml:space="preserve"> доходов от НИР и количеств</w:t>
      </w:r>
      <w:r w:rsidR="00555A16">
        <w:t>у</w:t>
      </w:r>
      <w:r w:rsidR="000A46EB">
        <w:t xml:space="preserve"> публикаций/цитирования </w:t>
      </w:r>
      <w:r w:rsidR="005574E1">
        <w:t xml:space="preserve">с помощью </w:t>
      </w:r>
      <w:r w:rsidR="00A714C1">
        <w:t xml:space="preserve">фиксированного перечня аналитических </w:t>
      </w:r>
      <w:r w:rsidR="000A46EB">
        <w:t>инструмент</w:t>
      </w:r>
      <w:r w:rsidR="005574E1">
        <w:t xml:space="preserve">ов. Чего, как видится, для </w:t>
      </w:r>
      <w:r w:rsidR="00555A16">
        <w:t xml:space="preserve">полноты </w:t>
      </w:r>
      <w:r w:rsidR="005574E1">
        <w:t>оценки реальных научных результатов недостаточно.</w:t>
      </w:r>
    </w:p>
    <w:p w:rsidR="005574CF" w:rsidRDefault="005574CF" w:rsidP="00DD6225">
      <w:r>
        <w:t xml:space="preserve">Во-вторых, </w:t>
      </w:r>
      <w:r w:rsidR="00E76C73">
        <w:t xml:space="preserve">понятие «эффективный контракт» соотнесено только </w:t>
      </w:r>
      <w:r w:rsidR="00A714C1">
        <w:t>с</w:t>
      </w:r>
      <w:r w:rsidR="00E76C73">
        <w:t xml:space="preserve"> категориям</w:t>
      </w:r>
      <w:r w:rsidR="00A714C1">
        <w:t>и</w:t>
      </w:r>
      <w:r w:rsidR="00E76C73">
        <w:t xml:space="preserve"> руководителей учебных и, отчасти – научных структурных подразделений и профессорско-преподавательскому составу. Если университет ставит задачу достижени</w:t>
      </w:r>
      <w:r w:rsidR="00054ACB">
        <w:t>я</w:t>
      </w:r>
      <w:r w:rsidR="00E76C73">
        <w:t xml:space="preserve"> достаточно амбициозной цели вхождения в круг ведущих вузов, то совершенно необходимо, чтобы </w:t>
      </w:r>
      <w:r w:rsidR="00E76C73" w:rsidRPr="00A714C1">
        <w:rPr>
          <w:i/>
        </w:rPr>
        <w:t>весь</w:t>
      </w:r>
      <w:r w:rsidR="00E76C73">
        <w:t xml:space="preserve"> персонал был заинтересован в личном участии в решении указанной задачи. В стратегии же ничего не сказано о </w:t>
      </w:r>
      <w:r w:rsidR="00054ACB">
        <w:t xml:space="preserve">системе стимулирования других категорий, что делает эту группу работников, количественно значительную в УдГУ, никак не заинтересованной в том, чтобы результаты личного вклада в решение общей задачи были </w:t>
      </w:r>
      <w:r w:rsidR="00D67559">
        <w:t xml:space="preserve">как-то </w:t>
      </w:r>
      <w:r w:rsidR="00054ACB">
        <w:t xml:space="preserve">отмечены или простимулированы. Таким образом, Стратегия </w:t>
      </w:r>
      <w:r w:rsidR="00D67559">
        <w:t xml:space="preserve">закладывает </w:t>
      </w:r>
      <w:r w:rsidR="00054ACB">
        <w:t>основ</w:t>
      </w:r>
      <w:r w:rsidR="00D67559">
        <w:t>ы</w:t>
      </w:r>
      <w:r w:rsidR="00054ACB">
        <w:t xml:space="preserve"> </w:t>
      </w:r>
      <w:r w:rsidR="00D67559">
        <w:t>формирования</w:t>
      </w:r>
      <w:r w:rsidR="00054ACB">
        <w:t xml:space="preserve"> </w:t>
      </w:r>
      <w:r w:rsidR="00D67559">
        <w:t>целого структурного и штатного внутреннего блока, существующего независимо от успешности решения общевузовских задач</w:t>
      </w:r>
      <w:r w:rsidR="005574E1">
        <w:t xml:space="preserve"> со своими внутренними целями, отличными от общевузовских стратегических</w:t>
      </w:r>
      <w:r w:rsidR="00D67559">
        <w:t xml:space="preserve">, что подрывает единство коллектива, делает фактически этот блок неэффективной, </w:t>
      </w:r>
      <w:r w:rsidR="00B5779D">
        <w:t>иждивенческой</w:t>
      </w:r>
      <w:r w:rsidR="00D67559">
        <w:t xml:space="preserve"> и затратной структурой. Речь идет о категориях научного, административно-управленческого и учебно-вспомогательного персонала.</w:t>
      </w:r>
    </w:p>
    <w:p w:rsidR="00D67559" w:rsidRDefault="00D67559" w:rsidP="00DD6225">
      <w:r>
        <w:t>В</w:t>
      </w:r>
      <w:r w:rsidR="00B5779D">
        <w:t>-</w:t>
      </w:r>
      <w:r>
        <w:t xml:space="preserve">третьих, </w:t>
      </w:r>
      <w:r w:rsidR="00D272A7">
        <w:t xml:space="preserve">безусловно неверной и опасной является идея дифференциации стимулирующих надбавок в зависимости от сложившихся в </w:t>
      </w:r>
      <w:r w:rsidR="00D272A7">
        <w:lastRenderedPageBreak/>
        <w:t>регионе уровней оплаты труда соответствующих профессий и должностей. В первую очередь, сам механизм подобной дифференциации труднореализуем, так как только мониторинг этих уровней требует серьезных трудозатрат, а подготовка и принятие решения будет неформализуемыми</w:t>
      </w:r>
      <w:r w:rsidR="00B5779D">
        <w:t xml:space="preserve"> и субъективными</w:t>
      </w:r>
      <w:r w:rsidR="00D272A7">
        <w:t xml:space="preserve">. Во-вторую очередь, проекция сложившихся региональных уровней </w:t>
      </w:r>
      <w:r w:rsidR="0021017D">
        <w:t xml:space="preserve">«профессиональных» зарплат </w:t>
      </w:r>
      <w:r w:rsidR="00D272A7">
        <w:t xml:space="preserve">на университет, включая разнообразные сферы деятельности производства, бизнеса </w:t>
      </w:r>
      <w:r w:rsidR="0021017D">
        <w:t>и торговли</w:t>
      </w:r>
      <w:r w:rsidR="00A714C1">
        <w:t>,</w:t>
      </w:r>
      <w:r w:rsidR="0021017D">
        <w:t xml:space="preserve"> </w:t>
      </w:r>
      <w:r w:rsidR="00D272A7">
        <w:t xml:space="preserve">станет </w:t>
      </w:r>
      <w:r w:rsidR="005574E1">
        <w:t xml:space="preserve">внесением в УдГУ противоречий внешней неоднородной среды, </w:t>
      </w:r>
      <w:r w:rsidR="00C70655">
        <w:t xml:space="preserve">базой скорее не для </w:t>
      </w:r>
      <w:r w:rsidR="0021017D">
        <w:t xml:space="preserve">объединения коллектива </w:t>
      </w:r>
      <w:r w:rsidR="007420E0">
        <w:t xml:space="preserve">УдГУ </w:t>
      </w:r>
      <w:r w:rsidR="0021017D">
        <w:t xml:space="preserve">для достижения общей стратегической цели, а напротив – для его разделения по </w:t>
      </w:r>
      <w:r w:rsidR="007420E0">
        <w:t>профессиональным признакам с различ</w:t>
      </w:r>
      <w:r w:rsidR="00B5779D">
        <w:t>ающимися</w:t>
      </w:r>
      <w:r w:rsidR="007420E0">
        <w:t xml:space="preserve"> </w:t>
      </w:r>
      <w:r w:rsidR="00A714C1">
        <w:t>узко</w:t>
      </w:r>
      <w:r w:rsidR="007420E0">
        <w:t>локальными задачами. Такое в университете уже наблюдается, когда обоснованием для массового установления повышенного уровня стимулирующих выплат работникам отдельных финансов</w:t>
      </w:r>
      <w:r w:rsidR="00A714C1">
        <w:t>о-экономических</w:t>
      </w:r>
      <w:r w:rsidR="007420E0">
        <w:t xml:space="preserve"> структур становится уровень оплаты труда подобных должностей в </w:t>
      </w:r>
      <w:r w:rsidR="00B5779D">
        <w:t>городе</w:t>
      </w:r>
      <w:r w:rsidR="005574E1">
        <w:t xml:space="preserve"> Ижевске</w:t>
      </w:r>
      <w:r w:rsidR="00B5779D">
        <w:t>. При этом работники основного персонала, исключенные из подобной схемы, очевидно считают себя обделенными и осознанно снижают качество своей работы</w:t>
      </w:r>
      <w:r w:rsidR="00555A16">
        <w:t>, выража</w:t>
      </w:r>
      <w:r w:rsidR="00CD5B49">
        <w:t>я</w:t>
      </w:r>
      <w:r w:rsidR="00555A16">
        <w:t xml:space="preserve"> </w:t>
      </w:r>
      <w:r w:rsidR="00CD5B49">
        <w:t>тем самым свое недоверие решениям руководства.</w:t>
      </w:r>
      <w:r w:rsidR="00B5779D">
        <w:t xml:space="preserve"> </w:t>
      </w:r>
      <w:r w:rsidR="00CD5B49">
        <w:t xml:space="preserve">Все </w:t>
      </w:r>
      <w:r w:rsidR="00B5779D">
        <w:t xml:space="preserve">это способствует разделению коллектива. В третью очередь, позиция, провозглашенная в документах по </w:t>
      </w:r>
      <w:r w:rsidR="000A46EB">
        <w:t xml:space="preserve">развитию систем оплаты труда </w:t>
      </w:r>
      <w:r w:rsidR="00B5779D">
        <w:t>«дорожных карт» Правительств</w:t>
      </w:r>
      <w:r w:rsidR="000A46EB">
        <w:t>а</w:t>
      </w:r>
      <w:r w:rsidR="00B5779D">
        <w:t xml:space="preserve"> РФ, однозначно направлена на исключение и отмену </w:t>
      </w:r>
      <w:r w:rsidR="000A46EB">
        <w:t xml:space="preserve">симулирующих выплат, не связанных с измеряемыми результатами труда и оценкой его качества. Указанное же «дотягивание» до уровня региональных зарплат искусственными стимулирующими выплатами именно </w:t>
      </w:r>
      <w:r w:rsidR="005574E1">
        <w:t>подобной</w:t>
      </w:r>
      <w:r w:rsidR="000A46EB">
        <w:t xml:space="preserve"> формой и является. Считаем, что правильным решением в этой области будет установление адекватного размера неизменяемой обязательной части заработной платы – должностного оклада</w:t>
      </w:r>
      <w:r w:rsidR="00CD5B49">
        <w:t xml:space="preserve"> по общим для всего штата правилам</w:t>
      </w:r>
      <w:r w:rsidR="000A46EB">
        <w:t>.</w:t>
      </w:r>
    </w:p>
    <w:p w:rsidR="000A46EB" w:rsidRDefault="000A46EB" w:rsidP="00DD6225">
      <w:r>
        <w:lastRenderedPageBreak/>
        <w:t>Учитывая вышесказанное, считаю, что раздел 4.8 в части установления концептуальных позиций развития системы оплаты труда УдГУ требует серьезной переработки.</w:t>
      </w:r>
    </w:p>
    <w:p w:rsidR="000A46EB" w:rsidRDefault="005574E1" w:rsidP="00DD6225">
      <w:r>
        <w:t>Социальный пакет.</w:t>
      </w:r>
    </w:p>
    <w:p w:rsidR="005574E1" w:rsidRDefault="005574E1" w:rsidP="00DD6225">
      <w:r>
        <w:t xml:space="preserve">Раздел также требует переработки. Система социальной поддержки работников (ССПР), включающая в себя социальный пакет – одна из составных частей мотивации персонала, повышения его лояльности и преданности корпоративным целям. Нельзя смешивать ССПР </w:t>
      </w:r>
      <w:r w:rsidR="00CD5B49">
        <w:t>с</w:t>
      </w:r>
      <w:r>
        <w:t xml:space="preserve"> систем</w:t>
      </w:r>
      <w:r w:rsidR="00CD5B49">
        <w:t>ой</w:t>
      </w:r>
      <w:r>
        <w:t xml:space="preserve"> обеспечения надлежащих условий труда, включающую в себя </w:t>
      </w:r>
      <w:r w:rsidR="003E54C9">
        <w:t>возможности повышения квалификации, свободного доступа и использования материальными и информационными ресурсами, обеспечения академических свобод преподавателей, условия охраны труда и техники безопасности.</w:t>
      </w:r>
    </w:p>
    <w:p w:rsidR="005574E1" w:rsidRDefault="003E54C9" w:rsidP="00DD6225">
      <w:r>
        <w:t xml:space="preserve">ССПР включает в себя: </w:t>
      </w:r>
    </w:p>
    <w:p w:rsidR="003E54C9" w:rsidRDefault="003E54C9" w:rsidP="003E54C9">
      <w:pPr>
        <w:pStyle w:val="a3"/>
        <w:numPr>
          <w:ilvl w:val="0"/>
          <w:numId w:val="1"/>
        </w:numPr>
      </w:pPr>
      <w:r>
        <w:t>социальные гарантии работникам, установленные трудовым законодательством;</w:t>
      </w:r>
    </w:p>
    <w:p w:rsidR="003E54C9" w:rsidRDefault="003E54C9" w:rsidP="003E54C9">
      <w:pPr>
        <w:pStyle w:val="a3"/>
        <w:numPr>
          <w:ilvl w:val="0"/>
          <w:numId w:val="1"/>
        </w:numPr>
      </w:pPr>
      <w:r>
        <w:t xml:space="preserve">социальные гарантии и социальная поддержка </w:t>
      </w:r>
      <w:r w:rsidR="004758BA">
        <w:t xml:space="preserve">работников </w:t>
      </w:r>
      <w:r>
        <w:t>работодател</w:t>
      </w:r>
      <w:r w:rsidR="004758BA">
        <w:t>ем</w:t>
      </w:r>
      <w:r>
        <w:t>, установленные сверх трудового законодательства (Коллективный договор, Отраслевое соглашение), включая «социальный пакет».</w:t>
      </w:r>
    </w:p>
    <w:p w:rsidR="000A46EB" w:rsidRDefault="003E54C9" w:rsidP="00DD6225">
      <w:r>
        <w:t>ССПР для работодателя является инструментом повышения мотивации и лояльности персонала через повышения социальной защиты, прямо не связанного с результатами и качеством труда работников. ССПР выражается как в материальной (</w:t>
      </w:r>
      <w:r w:rsidR="004758BA">
        <w:t>денежной или натуральной</w:t>
      </w:r>
      <w:r>
        <w:t>), так и в нематериальной (моральной) форме.</w:t>
      </w:r>
    </w:p>
    <w:p w:rsidR="004758BA" w:rsidRDefault="004758BA" w:rsidP="00DD6225">
      <w:r>
        <w:lastRenderedPageBreak/>
        <w:t>В контексте Стратегии видится обозначение основных позиций формирования ССПР:</w:t>
      </w:r>
    </w:p>
    <w:p w:rsidR="004758BA" w:rsidRDefault="004758BA" w:rsidP="004758BA">
      <w:pPr>
        <w:pStyle w:val="a3"/>
        <w:numPr>
          <w:ilvl w:val="0"/>
          <w:numId w:val="2"/>
        </w:numPr>
      </w:pPr>
      <w:r>
        <w:t xml:space="preserve">развитие системы социальных гарантий работников через формирование целевых социальных программ: жилищной, спортивно-оздоровительной, защиты здоровья, культурного развития, детских программ, </w:t>
      </w:r>
      <w:r w:rsidR="00693899">
        <w:t xml:space="preserve">дополнительного медицинского и пенсионного страхования, </w:t>
      </w:r>
      <w:r>
        <w:t>материальной социально-ориентированной поддержки.</w:t>
      </w:r>
    </w:p>
    <w:p w:rsidR="004758BA" w:rsidRDefault="004758BA" w:rsidP="004758BA">
      <w:pPr>
        <w:pStyle w:val="a3"/>
        <w:numPr>
          <w:ilvl w:val="0"/>
          <w:numId w:val="2"/>
        </w:numPr>
      </w:pPr>
      <w:r>
        <w:t>развитие социальной инфраструктуры университета (санаторно-оздоровительный комплекс, общежития, система общественного питания, подразделения медицинской и доврачебной помощи, спортивные сооружения и др.)</w:t>
      </w:r>
    </w:p>
    <w:p w:rsidR="004758BA" w:rsidRDefault="004758BA" w:rsidP="004758BA">
      <w:pPr>
        <w:pStyle w:val="a3"/>
        <w:numPr>
          <w:ilvl w:val="0"/>
          <w:numId w:val="2"/>
        </w:numPr>
      </w:pPr>
      <w:r>
        <w:t>социальны</w:t>
      </w:r>
      <w:r w:rsidR="00693899">
        <w:t>й</w:t>
      </w:r>
      <w:r>
        <w:t xml:space="preserve"> пакет – как комплекс социальных гарантий, </w:t>
      </w:r>
      <w:r w:rsidR="00693899">
        <w:t>дополняющий основной перечень социальных услуг по категориям работников.</w:t>
      </w:r>
    </w:p>
    <w:p w:rsidR="00693899" w:rsidRDefault="00693899" w:rsidP="00693899">
      <w:r>
        <w:t>Требуется дополнить раздел 4.8 по</w:t>
      </w:r>
      <w:r w:rsidR="00CD5B49">
        <w:t>д</w:t>
      </w:r>
      <w:r>
        <w:t>разделом «Условия труда», в который включить следующие позиции:</w:t>
      </w:r>
    </w:p>
    <w:p w:rsidR="00693899" w:rsidRDefault="00693899" w:rsidP="00693899">
      <w:pPr>
        <w:pStyle w:val="a3"/>
        <w:numPr>
          <w:ilvl w:val="0"/>
          <w:numId w:val="3"/>
        </w:numPr>
      </w:pPr>
      <w:r>
        <w:t>условия труда и техника безопасности;</w:t>
      </w:r>
    </w:p>
    <w:p w:rsidR="00693899" w:rsidRDefault="00693899" w:rsidP="00693899">
      <w:pPr>
        <w:pStyle w:val="a3"/>
        <w:numPr>
          <w:ilvl w:val="0"/>
          <w:numId w:val="3"/>
        </w:numPr>
      </w:pPr>
      <w:r>
        <w:t>снижение профессиональных рисков;</w:t>
      </w:r>
    </w:p>
    <w:p w:rsidR="00693899" w:rsidRDefault="00693899" w:rsidP="00693899">
      <w:pPr>
        <w:pStyle w:val="a3"/>
        <w:numPr>
          <w:ilvl w:val="0"/>
          <w:numId w:val="3"/>
        </w:numPr>
      </w:pPr>
      <w:r>
        <w:t>обеспечение деятельности персонала необходимыми материальными и нематериальными ресурсами;</w:t>
      </w:r>
    </w:p>
    <w:p w:rsidR="00693899" w:rsidRDefault="00693899" w:rsidP="00693899">
      <w:pPr>
        <w:pStyle w:val="a3"/>
        <w:numPr>
          <w:ilvl w:val="0"/>
          <w:numId w:val="3"/>
        </w:numPr>
      </w:pPr>
      <w:r>
        <w:t>обеспечение возможностью непрерывного повышения квалификации, подготовки и переподготовки персонала;</w:t>
      </w:r>
    </w:p>
    <w:p w:rsidR="00693899" w:rsidRDefault="00693899" w:rsidP="00693899">
      <w:pPr>
        <w:pStyle w:val="a3"/>
        <w:numPr>
          <w:ilvl w:val="0"/>
          <w:numId w:val="3"/>
        </w:numPr>
      </w:pPr>
      <w:r>
        <w:t>обеспечение академических свобод преподавателя;</w:t>
      </w:r>
    </w:p>
    <w:p w:rsidR="00693899" w:rsidRDefault="00693899" w:rsidP="00693899">
      <w:pPr>
        <w:pStyle w:val="a3"/>
        <w:numPr>
          <w:ilvl w:val="0"/>
          <w:numId w:val="3"/>
        </w:numPr>
      </w:pPr>
      <w:r>
        <w:t>снижение нагрузки персонала за счет исключение непроизводительных и неэффективных видов деятельности.</w:t>
      </w:r>
    </w:p>
    <w:p w:rsidR="00A714C1" w:rsidRDefault="00A714C1" w:rsidP="00A714C1"/>
    <w:p w:rsidR="00A714C1" w:rsidRPr="00A714C1" w:rsidRDefault="00A714C1" w:rsidP="00A714C1">
      <w:r>
        <w:lastRenderedPageBreak/>
        <w:t xml:space="preserve">Кроме этого, содержание раздела 4.8 вышло за пределы заявленного в его заголовке. Поэтому видится разумным </w:t>
      </w:r>
      <w:r w:rsidRPr="00A714C1">
        <w:t>выделить</w:t>
      </w:r>
      <w:r>
        <w:t xml:space="preserve"> </w:t>
      </w:r>
      <w:r w:rsidRPr="00A714C1">
        <w:t>в отдел</w:t>
      </w:r>
      <w:r>
        <w:t>ь</w:t>
      </w:r>
      <w:r w:rsidRPr="00A714C1">
        <w:t xml:space="preserve">ный раздел вопросы социального характера как </w:t>
      </w:r>
      <w:r>
        <w:t>одного из факторов повышения мотивации достижения стратегических целей.</w:t>
      </w:r>
    </w:p>
    <w:sectPr w:rsidR="00A714C1" w:rsidRPr="00A714C1" w:rsidSect="00303D9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144" w:rsidRDefault="004A6144" w:rsidP="00CD5B49">
      <w:pPr>
        <w:spacing w:after="0" w:line="240" w:lineRule="auto"/>
      </w:pPr>
      <w:r>
        <w:separator/>
      </w:r>
    </w:p>
  </w:endnote>
  <w:endnote w:type="continuationSeparator" w:id="1">
    <w:p w:rsidR="004A6144" w:rsidRDefault="004A6144" w:rsidP="00CD5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35360"/>
      <w:docPartObj>
        <w:docPartGallery w:val="Page Numbers (Bottom of Page)"/>
        <w:docPartUnique/>
      </w:docPartObj>
    </w:sdtPr>
    <w:sdtContent>
      <w:p w:rsidR="00CD5B49" w:rsidRDefault="00CD5B49">
        <w:pPr>
          <w:pStyle w:val="a6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CD5B49" w:rsidRDefault="00CD5B4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144" w:rsidRDefault="004A6144" w:rsidP="00CD5B49">
      <w:pPr>
        <w:spacing w:after="0" w:line="240" w:lineRule="auto"/>
      </w:pPr>
      <w:r>
        <w:separator/>
      </w:r>
    </w:p>
  </w:footnote>
  <w:footnote w:type="continuationSeparator" w:id="1">
    <w:p w:rsidR="004A6144" w:rsidRDefault="004A6144" w:rsidP="00CD5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2DBD"/>
    <w:multiLevelType w:val="hybridMultilevel"/>
    <w:tmpl w:val="D1960E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3A2B72"/>
    <w:multiLevelType w:val="hybridMultilevel"/>
    <w:tmpl w:val="E752C1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9883993"/>
    <w:multiLevelType w:val="hybridMultilevel"/>
    <w:tmpl w:val="19BC81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225"/>
    <w:rsid w:val="00054ACB"/>
    <w:rsid w:val="000A46EB"/>
    <w:rsid w:val="0021017D"/>
    <w:rsid w:val="00281BDD"/>
    <w:rsid w:val="00303D90"/>
    <w:rsid w:val="003C6AAD"/>
    <w:rsid w:val="003E54C9"/>
    <w:rsid w:val="004758BA"/>
    <w:rsid w:val="004A6144"/>
    <w:rsid w:val="004F1FA9"/>
    <w:rsid w:val="00555A16"/>
    <w:rsid w:val="005574CF"/>
    <w:rsid w:val="005574E1"/>
    <w:rsid w:val="005A2904"/>
    <w:rsid w:val="00693899"/>
    <w:rsid w:val="007420E0"/>
    <w:rsid w:val="00A714C1"/>
    <w:rsid w:val="00B5779D"/>
    <w:rsid w:val="00B632F1"/>
    <w:rsid w:val="00C70655"/>
    <w:rsid w:val="00CD5B49"/>
    <w:rsid w:val="00D272A7"/>
    <w:rsid w:val="00D67559"/>
    <w:rsid w:val="00DD6225"/>
    <w:rsid w:val="00E561A6"/>
    <w:rsid w:val="00E7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25"/>
    <w:pPr>
      <w:spacing w:line="360" w:lineRule="auto"/>
      <w:ind w:left="0" w:right="0" w:firstLine="709"/>
    </w:pPr>
    <w:rPr>
      <w:rFonts w:ascii="Calibri" w:eastAsia="Times New Roman" w:hAnsi="Calibri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62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62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6A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6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6AAD"/>
    <w:rPr>
      <w:rFonts w:asciiTheme="majorHAnsi" w:eastAsiaTheme="majorEastAsia" w:hAnsiTheme="majorHAnsi" w:cstheme="majorBidi"/>
      <w:b/>
      <w:bCs/>
      <w:color w:val="4F81BD" w:themeColor="accent1"/>
      <w:sz w:val="28"/>
      <w:lang w:eastAsia="ru-RU"/>
    </w:rPr>
  </w:style>
  <w:style w:type="paragraph" w:styleId="a3">
    <w:name w:val="List Paragraph"/>
    <w:basedOn w:val="a"/>
    <w:uiPriority w:val="34"/>
    <w:qFormat/>
    <w:rsid w:val="003E54C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D5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5B49"/>
    <w:rPr>
      <w:rFonts w:ascii="Calibri" w:eastAsia="Times New Roman" w:hAnsi="Calibri" w:cs="Times New Roman"/>
      <w:sz w:val="28"/>
      <w:lang w:eastAsia="ru-RU"/>
    </w:rPr>
  </w:style>
  <w:style w:type="paragraph" w:styleId="a6">
    <w:name w:val="footer"/>
    <w:basedOn w:val="a"/>
    <w:link w:val="a7"/>
    <w:uiPriority w:val="99"/>
    <w:unhideWhenUsed/>
    <w:rsid w:val="00CD5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5B49"/>
    <w:rPr>
      <w:rFonts w:ascii="Calibri" w:eastAsia="Times New Roman" w:hAnsi="Calibri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aae</dc:creator>
  <cp:lastModifiedBy>aae</cp:lastModifiedBy>
  <cp:revision>10</cp:revision>
  <dcterms:created xsi:type="dcterms:W3CDTF">2013-10-12T04:33:00Z</dcterms:created>
  <dcterms:modified xsi:type="dcterms:W3CDTF">2013-10-12T11:57:00Z</dcterms:modified>
</cp:coreProperties>
</file>