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1" w:rsidRPr="00822F83" w:rsidRDefault="00D62771" w:rsidP="00D62771">
      <w:pPr>
        <w:pStyle w:val="3"/>
        <w:spacing w:line="360" w:lineRule="auto"/>
        <w:jc w:val="center"/>
      </w:pPr>
      <w:r w:rsidRPr="00822F83">
        <w:t>Выступление</w:t>
      </w:r>
      <w:r w:rsidRPr="00822F83">
        <w:br/>
        <w:t xml:space="preserve">председателя профкома Анисимова А.Е. на </w:t>
      </w:r>
      <w:r>
        <w:t xml:space="preserve">общем </w:t>
      </w:r>
      <w:r w:rsidRPr="00822F83">
        <w:t xml:space="preserve">собрании сотрудников УдГУ </w:t>
      </w:r>
      <w:r w:rsidR="00197B24">
        <w:t>31</w:t>
      </w:r>
      <w:r w:rsidRPr="00F5282B">
        <w:t xml:space="preserve"> </w:t>
      </w:r>
      <w:r w:rsidRPr="00822F83">
        <w:t>августа 20</w:t>
      </w:r>
      <w:r w:rsidRPr="00F5282B">
        <w:t>1</w:t>
      </w:r>
      <w:r w:rsidR="00544A7E">
        <w:t>5</w:t>
      </w:r>
      <w:r w:rsidRPr="00822F83">
        <w:t xml:space="preserve"> года</w:t>
      </w:r>
    </w:p>
    <w:p w:rsidR="00D62771" w:rsidRDefault="00D62771" w:rsidP="00D62771">
      <w:pPr>
        <w:spacing w:line="360" w:lineRule="auto"/>
        <w:ind w:firstLine="709"/>
        <w:rPr>
          <w:sz w:val="28"/>
          <w:szCs w:val="28"/>
        </w:rPr>
      </w:pPr>
    </w:p>
    <w:p w:rsidR="00D62771" w:rsidRDefault="00D62771" w:rsidP="00FC6A1B">
      <w:pPr>
        <w:pStyle w:val="3"/>
      </w:pPr>
      <w:r>
        <w:t>Уважаемые коллеги!</w:t>
      </w:r>
    </w:p>
    <w:p w:rsidR="00E56C39" w:rsidRDefault="00D6277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Разрешите от имени </w:t>
      </w:r>
      <w:r w:rsidRPr="00F5282B">
        <w:rPr>
          <w:sz w:val="28"/>
          <w:szCs w:val="28"/>
        </w:rPr>
        <w:t>профсоюзного комитета</w:t>
      </w:r>
      <w:r w:rsidR="00544A7E">
        <w:rPr>
          <w:sz w:val="28"/>
          <w:szCs w:val="28"/>
        </w:rPr>
        <w:t xml:space="preserve"> и профсоюзной организации </w:t>
      </w:r>
      <w:r>
        <w:rPr>
          <w:sz w:val="28"/>
          <w:szCs w:val="28"/>
        </w:rPr>
        <w:t>работников УдГУ поздравить вас с началом нового 201</w:t>
      </w:r>
      <w:r w:rsidR="00544A7E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544A7E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года!</w:t>
      </w:r>
    </w:p>
    <w:p w:rsidR="00544A7E" w:rsidRDefault="00544A7E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Хотелось бы </w:t>
      </w:r>
      <w:r w:rsidR="000F5472">
        <w:rPr>
          <w:sz w:val="28"/>
          <w:szCs w:val="28"/>
        </w:rPr>
        <w:t xml:space="preserve">кратко </w:t>
      </w:r>
      <w:r>
        <w:rPr>
          <w:sz w:val="28"/>
          <w:szCs w:val="28"/>
        </w:rPr>
        <w:t xml:space="preserve">затронуть наиболее </w:t>
      </w:r>
      <w:r w:rsidR="000F5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актуальные для трудового коллектива вуза темы, хотя, конечно, таких тем, особенно в последнее время значительно больше. Это – реорганизация организационной структуры университета и оптимизация штатов</w:t>
      </w:r>
      <w:r w:rsidR="000F5472">
        <w:rPr>
          <w:sz w:val="28"/>
          <w:szCs w:val="28"/>
        </w:rPr>
        <w:t xml:space="preserve">, заработная плата, эффективный контракт, завершение срока коллективного договора. </w:t>
      </w:r>
    </w:p>
    <w:p w:rsidR="0071612B" w:rsidRDefault="000F5472" w:rsidP="00FC6A1B">
      <w:pPr>
        <w:pStyle w:val="3"/>
      </w:pPr>
      <w:r>
        <w:t xml:space="preserve">1. </w:t>
      </w:r>
      <w:r w:rsidR="00FC6A1B">
        <w:t>Реорганизация университета</w:t>
      </w:r>
      <w:r w:rsidR="00E2785C">
        <w:t xml:space="preserve"> и оптимизация</w:t>
      </w:r>
    </w:p>
    <w:p w:rsidR="00FC6A1B" w:rsidRDefault="00CA3FEF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прошлом учебном году начались весьма болезненные процессы оптимизации организационной структуры университета, сокращение штатного расписания.</w:t>
      </w:r>
      <w:r w:rsidR="007B5F33">
        <w:rPr>
          <w:sz w:val="28"/>
          <w:szCs w:val="28"/>
        </w:rPr>
        <w:t xml:space="preserve"> Не буду касаться причин проведения этих мероприятий, отмечу лишь </w:t>
      </w:r>
      <w:r w:rsidR="00E2785C">
        <w:rPr>
          <w:sz w:val="28"/>
          <w:szCs w:val="28"/>
        </w:rPr>
        <w:t xml:space="preserve">некоторые </w:t>
      </w:r>
      <w:r w:rsidR="007B5F33">
        <w:rPr>
          <w:sz w:val="28"/>
          <w:szCs w:val="28"/>
        </w:rPr>
        <w:t>кадровые последствия.</w:t>
      </w:r>
    </w:p>
    <w:p w:rsidR="007B5F33" w:rsidRDefault="007B5F33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в 1 полугодии 2015 года было уволено по основанию п. 2 ч. 1 ст. 81 ТК РФ (по сокращению штата) 6 человек, при этом 5 из них согласились расторгнуть трудовой договор досрочно, без отработки. По соглашению сторон (ст. 78) было уволено 27 человек, из которых порядка 6 человек - на тех же условиях, что и при сокращении штата. К сожалению, часть преподавателей, работавших по срочному трудовому договору, вынуждены были уйти в связи с окончанием его срока и не объявлением конкурса на ту же должность.</w:t>
      </w:r>
      <w:r w:rsidR="00F25E04">
        <w:rPr>
          <w:sz w:val="28"/>
          <w:szCs w:val="28"/>
        </w:rPr>
        <w:t xml:space="preserve"> Администрация вуза вместо массовых сокращений ППС </w:t>
      </w:r>
      <w:r w:rsidR="00F25E04">
        <w:rPr>
          <w:sz w:val="28"/>
          <w:szCs w:val="28"/>
        </w:rPr>
        <w:lastRenderedPageBreak/>
        <w:t>пошла на уменьшение доли ставки работающих преподавателей, что, безусловно, отчасти снизило потери кадрового состава.</w:t>
      </w:r>
    </w:p>
    <w:p w:rsidR="007B5F33" w:rsidRDefault="007B5F33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Благодаря совместной работе профкома с администрацией, удалось существенно скорректировать нормы численности УВП в структурах, что сохранило от 30 до 50 ставок в деканатах и на кафедрах.</w:t>
      </w:r>
    </w:p>
    <w:p w:rsidR="007B5F33" w:rsidRDefault="007B5F33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F25E04">
        <w:rPr>
          <w:sz w:val="28"/>
          <w:szCs w:val="28"/>
        </w:rPr>
        <w:t>массовых сокращений удалось избежать, кадровые потери, болезненные для коллектива, произошли. Здесь, как нам кажется, сделано было не всё.</w:t>
      </w:r>
    </w:p>
    <w:p w:rsidR="00576801" w:rsidRDefault="000F5472" w:rsidP="00FC6A1B">
      <w:pPr>
        <w:pStyle w:val="3"/>
      </w:pPr>
      <w:r>
        <w:t xml:space="preserve">2. </w:t>
      </w:r>
      <w:r w:rsidR="00FC6A1B">
        <w:t>Заработная плата</w:t>
      </w:r>
    </w:p>
    <w:p w:rsidR="00FC6A1B" w:rsidRDefault="00F279AC" w:rsidP="00FC6A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отношении заработной платы научно-педагогических работников вузов России продолжают действовать требования Указов Президента от 7 мая 2012 года и дорожной карты, в соответствии с которыми в 2014 году зарплата ППС должна была составить 125% от средней по региону, в 2015 году - 133%. В таблице 1 представлены значения средней зарплаты по всем категориям работников УдГУ в 2014 году. Следует сказать, что по данным мониторинга эффективности вузов </w:t>
      </w:r>
      <w:r w:rsidR="005C45A7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именно по этому единственному показателю из семи УдГУ не достиг </w:t>
      </w:r>
      <w:r w:rsidR="005C45A7">
        <w:rPr>
          <w:sz w:val="28"/>
          <w:szCs w:val="28"/>
        </w:rPr>
        <w:t>порогового значения, не хватило всего 0,3 процентных пункта.</w:t>
      </w:r>
    </w:p>
    <w:p w:rsidR="00FC6A1B" w:rsidRPr="00FC6A1B" w:rsidRDefault="00FC6A1B" w:rsidP="00FC6A1B">
      <w:pPr>
        <w:pStyle w:val="a4"/>
        <w:keepNext/>
        <w:ind w:firstLine="0"/>
        <w:jc w:val="left"/>
        <w:rPr>
          <w:sz w:val="24"/>
          <w:szCs w:val="24"/>
        </w:rPr>
      </w:pPr>
      <w:r w:rsidRPr="00FC6A1B">
        <w:rPr>
          <w:sz w:val="24"/>
          <w:szCs w:val="24"/>
        </w:rPr>
        <w:t xml:space="preserve">Таблица </w:t>
      </w:r>
      <w:r w:rsidR="00014809" w:rsidRPr="00FC6A1B">
        <w:rPr>
          <w:sz w:val="24"/>
          <w:szCs w:val="24"/>
        </w:rPr>
        <w:fldChar w:fldCharType="begin"/>
      </w:r>
      <w:r w:rsidRPr="00FC6A1B">
        <w:rPr>
          <w:sz w:val="24"/>
          <w:szCs w:val="24"/>
        </w:rPr>
        <w:instrText xml:space="preserve"> SEQ Таблица \* ARABIC </w:instrText>
      </w:r>
      <w:r w:rsidR="00014809" w:rsidRPr="00FC6A1B">
        <w:rPr>
          <w:sz w:val="24"/>
          <w:szCs w:val="24"/>
        </w:rPr>
        <w:fldChar w:fldCharType="separate"/>
      </w:r>
      <w:r w:rsidR="006B2D30">
        <w:rPr>
          <w:noProof/>
          <w:sz w:val="24"/>
          <w:szCs w:val="24"/>
        </w:rPr>
        <w:t>1</w:t>
      </w:r>
      <w:r w:rsidR="00014809" w:rsidRPr="00FC6A1B">
        <w:rPr>
          <w:sz w:val="24"/>
          <w:szCs w:val="24"/>
        </w:rPr>
        <w:fldChar w:fldCharType="end"/>
      </w:r>
      <w:r w:rsidRPr="00FC6A1B">
        <w:rPr>
          <w:sz w:val="24"/>
          <w:szCs w:val="24"/>
        </w:rPr>
        <w:t>. Среднемесячная заработная плата работников УдГУ (вместе с ГПХ)</w:t>
      </w:r>
      <w:r>
        <w:rPr>
          <w:sz w:val="24"/>
          <w:szCs w:val="24"/>
        </w:rPr>
        <w:t xml:space="preserve"> за 2014 год</w:t>
      </w:r>
      <w:r w:rsidRPr="00FC6A1B">
        <w:rPr>
          <w:sz w:val="24"/>
          <w:szCs w:val="24"/>
        </w:rPr>
        <w:t>, руб./чел.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FC6A1B" w:rsidRPr="00F279AC" w:rsidTr="00E01D36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FC6A1B" w:rsidRPr="00F279AC" w:rsidRDefault="00F279AC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Среднемесячный размер заработной платы c ГПХ, руб./чел.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ППС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133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АУП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24 185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УВП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 xml:space="preserve">11 212 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>руб.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ПОП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12 548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36 366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C6A1B" w:rsidRPr="00F279AC" w:rsidTr="00E01D36">
        <w:tc>
          <w:tcPr>
            <w:tcW w:w="3154" w:type="dxa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ПРЕП</w:t>
            </w:r>
          </w:p>
        </w:tc>
        <w:tc>
          <w:tcPr>
            <w:tcW w:w="3155" w:type="dxa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6 273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C6A1B" w:rsidRPr="00F279AC" w:rsidTr="00E01D36"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FC6A1B" w:rsidRPr="00F279AC" w:rsidRDefault="00FC6A1B" w:rsidP="00E01D3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bottom"/>
          </w:tcPr>
          <w:p w:rsidR="00FC6A1B" w:rsidRPr="00F279AC" w:rsidRDefault="00FC6A1B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79AC">
              <w:rPr>
                <w:rFonts w:ascii="Calibri" w:hAnsi="Calibri"/>
                <w:color w:val="000000"/>
                <w:sz w:val="24"/>
                <w:szCs w:val="24"/>
              </w:rPr>
              <w:t xml:space="preserve">20 303 </w:t>
            </w:r>
            <w:r w:rsidR="00F279AC">
              <w:rPr>
                <w:rFonts w:ascii="Calibri" w:hAnsi="Calibri"/>
                <w:color w:val="000000"/>
                <w:sz w:val="24"/>
                <w:szCs w:val="24"/>
              </w:rPr>
              <w:t>руб.</w:t>
            </w:r>
          </w:p>
        </w:tc>
      </w:tr>
    </w:tbl>
    <w:p w:rsidR="00FC6A1B" w:rsidRDefault="00FC6A1B" w:rsidP="00D62771">
      <w:pPr>
        <w:spacing w:line="360" w:lineRule="auto"/>
        <w:rPr>
          <w:sz w:val="28"/>
          <w:szCs w:val="28"/>
        </w:rPr>
      </w:pPr>
    </w:p>
    <w:p w:rsidR="005C45A7" w:rsidRDefault="005C45A7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таблице 2 представлены данные </w:t>
      </w:r>
      <w:r w:rsidR="00F15631">
        <w:rPr>
          <w:sz w:val="28"/>
          <w:szCs w:val="28"/>
        </w:rPr>
        <w:t xml:space="preserve">по зарплате </w:t>
      </w:r>
      <w:r>
        <w:rPr>
          <w:sz w:val="28"/>
          <w:szCs w:val="28"/>
        </w:rPr>
        <w:t xml:space="preserve">за 1 полугодие 2015 года по должностям ППС. Зарплата ППС в абсолютном размере уменьшилась на 3%, таким образом, достижение целевого показателя </w:t>
      </w:r>
      <w:r w:rsidR="00EB10D8">
        <w:rPr>
          <w:sz w:val="28"/>
          <w:szCs w:val="28"/>
        </w:rPr>
        <w:t xml:space="preserve">в 133% от средней </w:t>
      </w:r>
      <w:r w:rsidR="00F25E04">
        <w:rPr>
          <w:sz w:val="28"/>
          <w:szCs w:val="28"/>
        </w:rPr>
        <w:t xml:space="preserve">зарплаты </w:t>
      </w:r>
      <w:r w:rsidR="00EB10D8">
        <w:rPr>
          <w:sz w:val="28"/>
          <w:szCs w:val="28"/>
        </w:rPr>
        <w:t xml:space="preserve">по региону </w:t>
      </w:r>
      <w:r>
        <w:rPr>
          <w:sz w:val="28"/>
          <w:szCs w:val="28"/>
        </w:rPr>
        <w:t xml:space="preserve">становится еще более трудной задачей. Для этого чисто арифметически в оставшиеся месяцы </w:t>
      </w:r>
      <w:r w:rsidR="00EB10D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необходимо </w:t>
      </w:r>
      <w:r w:rsidR="00EB10D8">
        <w:rPr>
          <w:sz w:val="28"/>
          <w:szCs w:val="28"/>
        </w:rPr>
        <w:t>увеличить ежемесячный фонд оплаты труда преподавателей, а, значит, зарплату каждому, примерно на 5</w:t>
      </w:r>
      <w:r w:rsidR="00F25E04">
        <w:rPr>
          <w:sz w:val="28"/>
          <w:szCs w:val="28"/>
        </w:rPr>
        <w:t>0-55%</w:t>
      </w:r>
      <w:r w:rsidR="00EB10D8">
        <w:rPr>
          <w:sz w:val="28"/>
          <w:szCs w:val="28"/>
        </w:rPr>
        <w:t>. Задача более чем сложная.</w:t>
      </w:r>
    </w:p>
    <w:p w:rsidR="00F279AC" w:rsidRPr="00F279AC" w:rsidRDefault="00F279AC" w:rsidP="00F279AC">
      <w:pPr>
        <w:pStyle w:val="a4"/>
        <w:keepNext/>
        <w:ind w:firstLine="0"/>
        <w:rPr>
          <w:sz w:val="24"/>
          <w:szCs w:val="24"/>
        </w:rPr>
      </w:pPr>
      <w:r w:rsidRPr="00F279AC">
        <w:rPr>
          <w:sz w:val="24"/>
          <w:szCs w:val="24"/>
        </w:rPr>
        <w:t xml:space="preserve">Таблица </w:t>
      </w:r>
      <w:r w:rsidR="00014809" w:rsidRPr="00F279AC">
        <w:rPr>
          <w:sz w:val="24"/>
          <w:szCs w:val="24"/>
        </w:rPr>
        <w:fldChar w:fldCharType="begin"/>
      </w:r>
      <w:r w:rsidRPr="00F279AC">
        <w:rPr>
          <w:sz w:val="24"/>
          <w:szCs w:val="24"/>
        </w:rPr>
        <w:instrText xml:space="preserve"> SEQ Таблица \* ARABIC </w:instrText>
      </w:r>
      <w:r w:rsidR="00014809" w:rsidRPr="00F279AC">
        <w:rPr>
          <w:sz w:val="24"/>
          <w:szCs w:val="24"/>
        </w:rPr>
        <w:fldChar w:fldCharType="separate"/>
      </w:r>
      <w:r w:rsidR="006B2D30">
        <w:rPr>
          <w:noProof/>
          <w:sz w:val="24"/>
          <w:szCs w:val="24"/>
        </w:rPr>
        <w:t>2</w:t>
      </w:r>
      <w:r w:rsidR="00014809" w:rsidRPr="00F279AC">
        <w:rPr>
          <w:sz w:val="24"/>
          <w:szCs w:val="24"/>
        </w:rPr>
        <w:fldChar w:fldCharType="end"/>
      </w:r>
      <w:r w:rsidRPr="00F279AC">
        <w:rPr>
          <w:sz w:val="24"/>
          <w:szCs w:val="24"/>
        </w:rPr>
        <w:t>. Среднемесячная заработная плата ППС УдГУ в 1 полугодии 2015 года, по должностям</w:t>
      </w:r>
    </w:p>
    <w:tbl>
      <w:tblPr>
        <w:tblStyle w:val="a3"/>
        <w:tblW w:w="0" w:type="auto"/>
        <w:tblLook w:val="04A0"/>
      </w:tblPr>
      <w:tblGrid>
        <w:gridCol w:w="3085"/>
        <w:gridCol w:w="3119"/>
      </w:tblGrid>
      <w:tr w:rsidR="00F279AC" w:rsidTr="00F279A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279AC" w:rsidRPr="00F279AC" w:rsidRDefault="00F279AC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279AC" w:rsidRPr="00F279AC" w:rsidRDefault="00F279AC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Среднемесячная зарплата в 1 полугодии 2015 года, 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 w:rsidP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Декан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62 877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 w:rsidP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Зав. кафедрой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45 960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Профессор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38 020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 w:rsidP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27 922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Ст. преп.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18 831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279AC" w:rsidTr="00F279AC">
        <w:tc>
          <w:tcPr>
            <w:tcW w:w="3085" w:type="dxa"/>
            <w:vAlign w:val="bottom"/>
          </w:tcPr>
          <w:p w:rsidR="00F279AC" w:rsidRDefault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Ассистент</w:t>
            </w:r>
          </w:p>
        </w:tc>
        <w:tc>
          <w:tcPr>
            <w:tcW w:w="3119" w:type="dxa"/>
            <w:vAlign w:val="bottom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13 753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F279AC" w:rsidTr="00F279AC">
        <w:tc>
          <w:tcPr>
            <w:tcW w:w="3085" w:type="dxa"/>
            <w:shd w:val="clear" w:color="auto" w:fill="D9D9D9" w:themeFill="background1" w:themeFillShade="D9"/>
            <w:vAlign w:val="bottom"/>
          </w:tcPr>
          <w:p w:rsidR="00F279AC" w:rsidRDefault="00F279AC" w:rsidP="00F27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ППС – ВСЕГО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279AC" w:rsidRDefault="00F279AC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29 252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руб.</w:t>
            </w:r>
          </w:p>
          <w:p w:rsidR="00F25E04" w:rsidRPr="00F279AC" w:rsidRDefault="00F25E04" w:rsidP="00F279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(-3% по отн. к 2014 году)</w:t>
            </w:r>
          </w:p>
        </w:tc>
      </w:tr>
    </w:tbl>
    <w:p w:rsidR="00FC6A1B" w:rsidRDefault="00F25E04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Более наглядно характеризует ситуацию не обезличенная средняя зарплата, а структурные характеристики, показывающие дифференциацию доходов между работниками в трудовом коллективе.</w:t>
      </w:r>
      <w:r w:rsidR="003939CB">
        <w:rPr>
          <w:sz w:val="28"/>
          <w:szCs w:val="28"/>
        </w:rPr>
        <w:t xml:space="preserve"> Децильный коэффициент дифференциации доходов – это отношение дохода 10% самых высокооплачиваемых к доходу 10% самых низкооплачиваемых работников.</w:t>
      </w:r>
      <w:r w:rsidR="007771F2">
        <w:rPr>
          <w:sz w:val="28"/>
          <w:szCs w:val="28"/>
        </w:rPr>
        <w:t xml:space="preserve"> Для преподавателей это значение - около 5,5, для АУП - 3,9, УВП - 3,7.</w:t>
      </w:r>
    </w:p>
    <w:p w:rsidR="003939CB" w:rsidRPr="003939CB" w:rsidRDefault="003939CB" w:rsidP="003939CB">
      <w:pPr>
        <w:pStyle w:val="a4"/>
        <w:keepNext/>
        <w:ind w:firstLine="0"/>
        <w:rPr>
          <w:sz w:val="24"/>
          <w:szCs w:val="24"/>
        </w:rPr>
      </w:pPr>
      <w:r w:rsidRPr="003939CB">
        <w:rPr>
          <w:sz w:val="24"/>
          <w:szCs w:val="24"/>
        </w:rPr>
        <w:t xml:space="preserve">Таблица </w:t>
      </w:r>
      <w:r w:rsidR="00014809" w:rsidRPr="003939CB">
        <w:rPr>
          <w:sz w:val="24"/>
          <w:szCs w:val="24"/>
        </w:rPr>
        <w:fldChar w:fldCharType="begin"/>
      </w:r>
      <w:r w:rsidRPr="003939CB">
        <w:rPr>
          <w:sz w:val="24"/>
          <w:szCs w:val="24"/>
        </w:rPr>
        <w:instrText xml:space="preserve"> SEQ Таблица \* ARABIC </w:instrText>
      </w:r>
      <w:r w:rsidR="00014809" w:rsidRPr="003939CB">
        <w:rPr>
          <w:sz w:val="24"/>
          <w:szCs w:val="24"/>
        </w:rPr>
        <w:fldChar w:fldCharType="separate"/>
      </w:r>
      <w:r w:rsidR="006B2D30">
        <w:rPr>
          <w:noProof/>
          <w:sz w:val="24"/>
          <w:szCs w:val="24"/>
        </w:rPr>
        <w:t>3</w:t>
      </w:r>
      <w:r w:rsidR="00014809" w:rsidRPr="003939CB">
        <w:rPr>
          <w:sz w:val="24"/>
          <w:szCs w:val="24"/>
        </w:rPr>
        <w:fldChar w:fldCharType="end"/>
      </w:r>
      <w:r w:rsidRPr="003939CB">
        <w:rPr>
          <w:sz w:val="24"/>
          <w:szCs w:val="24"/>
        </w:rPr>
        <w:t>. Децильные коэффициенты дифференциации доходов работников УдГУ по категориям в 1 полугодии 2015 года</w:t>
      </w:r>
    </w:p>
    <w:tbl>
      <w:tblPr>
        <w:tblW w:w="4861" w:type="dxa"/>
        <w:tblInd w:w="100" w:type="dxa"/>
        <w:tblLook w:val="04A0"/>
      </w:tblPr>
      <w:tblGrid>
        <w:gridCol w:w="1021"/>
        <w:gridCol w:w="960"/>
        <w:gridCol w:w="960"/>
        <w:gridCol w:w="960"/>
        <w:gridCol w:w="960"/>
      </w:tblGrid>
      <w:tr w:rsidR="003939CB" w:rsidRPr="003939CB" w:rsidTr="003939C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39CB" w:rsidRPr="003939CB" w:rsidTr="003939C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39CB" w:rsidRPr="003939CB" w:rsidRDefault="003939CB" w:rsidP="003939C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39CB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</w:tr>
    </w:tbl>
    <w:p w:rsidR="006B08B4" w:rsidRDefault="003939CB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Медианная заработная плата преподавателей (это</w:t>
      </w:r>
      <w:r w:rsidRPr="00E72FD0">
        <w:rPr>
          <w:sz w:val="28"/>
          <w:szCs w:val="28"/>
        </w:rPr>
        <w:t xml:space="preserve"> уровень, выше и ниже которого получают доход одинаковое количество работников</w:t>
      </w:r>
      <w:r>
        <w:rPr>
          <w:sz w:val="28"/>
          <w:szCs w:val="28"/>
        </w:rPr>
        <w:t>) в 1 полугодии составила 23 тыс. 620 руб., что существенно отличается от средней зарплаты (29</w:t>
      </w:r>
      <w:r w:rsidR="00FA7B48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252 руб.). Это означает, что есть довольно значительное количество относительно высокооплачиваемых преподавателей, зарплата которых </w:t>
      </w:r>
      <w:r w:rsidR="00FA7B48">
        <w:rPr>
          <w:sz w:val="28"/>
          <w:szCs w:val="28"/>
        </w:rPr>
        <w:t xml:space="preserve">завышает </w:t>
      </w:r>
      <w:r>
        <w:rPr>
          <w:sz w:val="28"/>
          <w:szCs w:val="28"/>
        </w:rPr>
        <w:t xml:space="preserve">средние значения. </w:t>
      </w:r>
      <w:r w:rsidR="00FA7B48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учебная нагрузка внутри преподавательского коллектива распределена весьма неравномерно, и есть еще резервы для </w:t>
      </w:r>
      <w:r w:rsidR="00FA7B48">
        <w:rPr>
          <w:sz w:val="28"/>
          <w:szCs w:val="28"/>
        </w:rPr>
        <w:t>её выравнивания</w:t>
      </w:r>
      <w:r>
        <w:rPr>
          <w:sz w:val="28"/>
          <w:szCs w:val="28"/>
        </w:rPr>
        <w:t>.</w:t>
      </w:r>
      <w:r w:rsidR="00FA7B48">
        <w:rPr>
          <w:sz w:val="28"/>
          <w:szCs w:val="28"/>
        </w:rPr>
        <w:t xml:space="preserve"> Для примера в таблице приведены </w:t>
      </w:r>
      <w:r w:rsidR="006B2D30">
        <w:rPr>
          <w:sz w:val="28"/>
          <w:szCs w:val="28"/>
        </w:rPr>
        <w:t xml:space="preserve">данные по </w:t>
      </w:r>
      <w:r w:rsidR="00FA7B48">
        <w:rPr>
          <w:sz w:val="28"/>
          <w:szCs w:val="28"/>
        </w:rPr>
        <w:t>десяти децильным группам зарплат ППС в апреле 2015 года:</w:t>
      </w:r>
    </w:p>
    <w:p w:rsidR="006B2D30" w:rsidRPr="006B2D30" w:rsidRDefault="006B2D30" w:rsidP="006B2D30">
      <w:pPr>
        <w:pStyle w:val="a4"/>
        <w:keepNext/>
        <w:ind w:firstLine="0"/>
        <w:rPr>
          <w:sz w:val="24"/>
          <w:szCs w:val="24"/>
        </w:rPr>
      </w:pPr>
      <w:r w:rsidRPr="006B2D30">
        <w:rPr>
          <w:sz w:val="24"/>
          <w:szCs w:val="24"/>
        </w:rPr>
        <w:t xml:space="preserve">Таблица </w:t>
      </w:r>
      <w:r w:rsidR="00014809" w:rsidRPr="006B2D30">
        <w:rPr>
          <w:sz w:val="24"/>
          <w:szCs w:val="24"/>
        </w:rPr>
        <w:fldChar w:fldCharType="begin"/>
      </w:r>
      <w:r w:rsidRPr="006B2D30">
        <w:rPr>
          <w:sz w:val="24"/>
          <w:szCs w:val="24"/>
        </w:rPr>
        <w:instrText xml:space="preserve"> SEQ Таблица \* ARABIC </w:instrText>
      </w:r>
      <w:r w:rsidR="00014809" w:rsidRPr="006B2D30">
        <w:rPr>
          <w:sz w:val="24"/>
          <w:szCs w:val="24"/>
        </w:rPr>
        <w:fldChar w:fldCharType="separate"/>
      </w:r>
      <w:r w:rsidRPr="006B2D30">
        <w:rPr>
          <w:sz w:val="24"/>
          <w:szCs w:val="24"/>
        </w:rPr>
        <w:t>4</w:t>
      </w:r>
      <w:r w:rsidR="00014809" w:rsidRPr="006B2D30">
        <w:rPr>
          <w:sz w:val="24"/>
          <w:szCs w:val="24"/>
        </w:rPr>
        <w:fldChar w:fldCharType="end"/>
      </w:r>
      <w:r w:rsidRPr="006B2D30">
        <w:rPr>
          <w:sz w:val="24"/>
          <w:szCs w:val="24"/>
        </w:rPr>
        <w:t>. Децильные группы заработных плат преподавателей УдГУ в апреле 2015 г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1701"/>
        <w:gridCol w:w="1843"/>
        <w:gridCol w:w="1950"/>
      </w:tblGrid>
      <w:tr w:rsidR="00FA7B48" w:rsidRPr="006B2D30" w:rsidTr="006B2D3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A7B48" w:rsidRPr="006B2D30" w:rsidRDefault="00FA7B48" w:rsidP="006B2D30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</w:rPr>
              <w:t>Номер группы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7B48" w:rsidRPr="006B2D30" w:rsidRDefault="00FA7B48" w:rsidP="006B2D30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</w:rPr>
              <w:t>Кол-во работников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48" w:rsidRPr="006B2D30" w:rsidRDefault="00FA7B48" w:rsidP="006B2D30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</w:rPr>
              <w:t>Диапазон дохода, руб.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B48" w:rsidRPr="006B2D30" w:rsidRDefault="006B2D30" w:rsidP="006B2D30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</w:rPr>
              <w:t>Средняя доля ставки на 1 человека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1 593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9 093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0,34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9 283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13 357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0,77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13 379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16 973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0,88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16 973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20 594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0,96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20 594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22 934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22 966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26 367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0,99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26 472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30 477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1,06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30 545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36 191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1,08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36 252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46 354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1,07</w:t>
            </w:r>
          </w:p>
        </w:tc>
      </w:tr>
      <w:tr w:rsidR="006B2D30" w:rsidRPr="006B2D30" w:rsidTr="00FA7B48">
        <w:tc>
          <w:tcPr>
            <w:tcW w:w="1951" w:type="dxa"/>
            <w:vAlign w:val="bottom"/>
          </w:tcPr>
          <w:p w:rsidR="006B2D30" w:rsidRPr="006B2D30" w:rsidRDefault="006B2D30" w:rsidP="007C652D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6B2D30"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vAlign w:val="bottom"/>
          </w:tcPr>
          <w:p w:rsidR="006B2D30" w:rsidRPr="006B2D30" w:rsidRDefault="006B2D30" w:rsidP="00FA7B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D30" w:rsidRPr="006B2D30" w:rsidRDefault="006B2D30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От 46 453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FA7B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B2D30">
              <w:rPr>
                <w:rFonts w:ascii="Tahoma" w:hAnsi="Tahoma" w:cs="Tahoma"/>
                <w:color w:val="000000"/>
                <w:sz w:val="24"/>
                <w:szCs w:val="24"/>
              </w:rPr>
              <w:t>до 438 690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2D30" w:rsidRPr="006B2D30" w:rsidRDefault="006B2D30" w:rsidP="006B2D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D30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</w:tr>
    </w:tbl>
    <w:p w:rsidR="00FA7B48" w:rsidRDefault="00FA7B48" w:rsidP="00D62771">
      <w:pPr>
        <w:spacing w:line="360" w:lineRule="auto"/>
        <w:rPr>
          <w:sz w:val="28"/>
          <w:szCs w:val="28"/>
        </w:rPr>
      </w:pPr>
    </w:p>
    <w:p w:rsidR="00EB10D8" w:rsidRDefault="000F5472" w:rsidP="00EB10D8">
      <w:pPr>
        <w:pStyle w:val="3"/>
      </w:pPr>
      <w:r>
        <w:t xml:space="preserve">3. </w:t>
      </w:r>
      <w:r w:rsidR="00EB10D8">
        <w:t>Эффективный контракт</w:t>
      </w:r>
    </w:p>
    <w:p w:rsidR="00EB10D8" w:rsidRDefault="00EB10D8" w:rsidP="00EB10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Университет, как и другие вузы РФ, находится в условиях </w:t>
      </w:r>
      <w:r w:rsidR="000F5472">
        <w:rPr>
          <w:sz w:val="28"/>
          <w:szCs w:val="28"/>
        </w:rPr>
        <w:t>непрерывного</w:t>
      </w:r>
      <w:r>
        <w:rPr>
          <w:sz w:val="28"/>
          <w:szCs w:val="28"/>
        </w:rPr>
        <w:t xml:space="preserve"> </w:t>
      </w:r>
      <w:r w:rsidR="00F15631">
        <w:rPr>
          <w:sz w:val="28"/>
          <w:szCs w:val="28"/>
        </w:rPr>
        <w:t xml:space="preserve">реформаторства </w:t>
      </w:r>
      <w:r>
        <w:rPr>
          <w:sz w:val="28"/>
          <w:szCs w:val="28"/>
        </w:rPr>
        <w:t>системы высшего образования</w:t>
      </w:r>
      <w:r w:rsidR="00F15631">
        <w:rPr>
          <w:sz w:val="28"/>
          <w:szCs w:val="28"/>
        </w:rPr>
        <w:t>. Еще одной такой новацией является предусмотренный д</w:t>
      </w:r>
      <w:r>
        <w:rPr>
          <w:sz w:val="28"/>
          <w:szCs w:val="28"/>
        </w:rPr>
        <w:t>орожн</w:t>
      </w:r>
      <w:r w:rsidR="00F15631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F15631">
        <w:rPr>
          <w:sz w:val="28"/>
          <w:szCs w:val="28"/>
        </w:rPr>
        <w:t>ой</w:t>
      </w:r>
      <w:r>
        <w:rPr>
          <w:sz w:val="28"/>
          <w:szCs w:val="28"/>
        </w:rPr>
        <w:t xml:space="preserve"> развития образования перевод трудовых отношений с работниками на так называемый «эффективный контракт». Это касается, в первую очередь, преподавателей, но впоследствии ожидается такой перевод </w:t>
      </w:r>
      <w:r w:rsidR="00F15631">
        <w:rPr>
          <w:sz w:val="28"/>
          <w:szCs w:val="28"/>
        </w:rPr>
        <w:t xml:space="preserve">для </w:t>
      </w:r>
      <w:r>
        <w:rPr>
          <w:sz w:val="28"/>
          <w:szCs w:val="28"/>
        </w:rPr>
        <w:t>всех категорий работников.</w:t>
      </w:r>
      <w:r w:rsidR="00F15631">
        <w:rPr>
          <w:sz w:val="28"/>
          <w:szCs w:val="28"/>
        </w:rPr>
        <w:t xml:space="preserve"> Ряд вузов такой переход осуществили, и даже </w:t>
      </w:r>
      <w:r w:rsidR="00791F46">
        <w:rPr>
          <w:sz w:val="28"/>
          <w:szCs w:val="28"/>
        </w:rPr>
        <w:t xml:space="preserve">после получения первого опыта </w:t>
      </w:r>
      <w:r w:rsidR="004A2120">
        <w:rPr>
          <w:sz w:val="28"/>
          <w:szCs w:val="28"/>
        </w:rPr>
        <w:t xml:space="preserve">уже </w:t>
      </w:r>
      <w:r w:rsidR="00F15631">
        <w:rPr>
          <w:sz w:val="28"/>
          <w:szCs w:val="28"/>
        </w:rPr>
        <w:t>модифицировали свои системы ЭК.</w:t>
      </w:r>
    </w:p>
    <w:p w:rsidR="00EB10D8" w:rsidRDefault="00EB10D8" w:rsidP="00EB10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конце прошедшего 2014/2015 учебного года </w:t>
      </w:r>
      <w:r w:rsidR="00F15631">
        <w:rPr>
          <w:sz w:val="28"/>
          <w:szCs w:val="28"/>
        </w:rPr>
        <w:t xml:space="preserve">рабочая группа начала разработку системы ЭК для </w:t>
      </w:r>
      <w:r w:rsidR="00791F46">
        <w:rPr>
          <w:sz w:val="28"/>
          <w:szCs w:val="28"/>
        </w:rPr>
        <w:t>Удмуртского университета</w:t>
      </w:r>
      <w:r w:rsidR="00F15631">
        <w:rPr>
          <w:sz w:val="28"/>
          <w:szCs w:val="28"/>
        </w:rPr>
        <w:t xml:space="preserve">. Предполагается, что системой ЭК будут оцениваться результативность и качество работы индивидуально каждого работника, </w:t>
      </w:r>
      <w:r w:rsidR="00791F46">
        <w:rPr>
          <w:sz w:val="28"/>
          <w:szCs w:val="28"/>
        </w:rPr>
        <w:t>и эта оценка будет использована для его материального поощрения. Запуск системы ЭК потребует не только значительного изменения нормативной базы УдГУ, но и внесения обширных изменений в действующие трудовые договоры с работниками.</w:t>
      </w:r>
    </w:p>
    <w:p w:rsidR="00F15631" w:rsidRDefault="00F15631" w:rsidP="00EB10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Разработанный </w:t>
      </w:r>
      <w:r w:rsidR="00791F46">
        <w:rPr>
          <w:sz w:val="28"/>
          <w:szCs w:val="28"/>
        </w:rPr>
        <w:t xml:space="preserve">группой </w:t>
      </w:r>
      <w:r>
        <w:rPr>
          <w:sz w:val="28"/>
          <w:szCs w:val="28"/>
        </w:rPr>
        <w:t xml:space="preserve">проект Положения </w:t>
      </w:r>
      <w:r w:rsidR="00791F46">
        <w:rPr>
          <w:sz w:val="28"/>
          <w:szCs w:val="28"/>
        </w:rPr>
        <w:t xml:space="preserve">об ЭК </w:t>
      </w:r>
      <w:r>
        <w:rPr>
          <w:sz w:val="28"/>
          <w:szCs w:val="28"/>
        </w:rPr>
        <w:t>находится в стадии обсуждения и согласования, поэтому призываем преподавателей, руководителей и всех заинтересованных лиц включиться в дискуссию. Профком в ближайшее время планирует провести по этому вопросу очное обсуждения в формате круглого стола.</w:t>
      </w:r>
    </w:p>
    <w:p w:rsidR="00576801" w:rsidRDefault="000F5472" w:rsidP="00FC6A1B">
      <w:pPr>
        <w:pStyle w:val="3"/>
      </w:pPr>
      <w:r>
        <w:t xml:space="preserve">4. </w:t>
      </w:r>
      <w:r w:rsidR="00FC6A1B">
        <w:t>Коллективный договор</w:t>
      </w:r>
    </w:p>
    <w:p w:rsidR="00544A7E" w:rsidRDefault="00576801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2014 году Коллективный договор УдГУ занял первое место во всероссийском конкурсе коллективных договоров среди вузов Российской Федерации. </w:t>
      </w:r>
      <w:r w:rsidR="0071612B">
        <w:rPr>
          <w:sz w:val="28"/>
          <w:szCs w:val="28"/>
        </w:rPr>
        <w:t xml:space="preserve">31 декабря 2015 года заканчивается </w:t>
      </w:r>
      <w:r>
        <w:rPr>
          <w:sz w:val="28"/>
          <w:szCs w:val="28"/>
        </w:rPr>
        <w:t xml:space="preserve">его </w:t>
      </w:r>
      <w:r w:rsidR="0071612B">
        <w:rPr>
          <w:sz w:val="28"/>
          <w:szCs w:val="28"/>
        </w:rPr>
        <w:t>действие, и уже осенью профкомом будут инициированы коллективные переговоры по подготовке нового Коллективного договора</w:t>
      </w:r>
      <w:r w:rsidR="00996D9A">
        <w:rPr>
          <w:sz w:val="28"/>
          <w:szCs w:val="28"/>
        </w:rPr>
        <w:t xml:space="preserve">, а ноябре-декабре будет созвана конференция трудового коллектива </w:t>
      </w:r>
      <w:r w:rsidR="000F5472">
        <w:rPr>
          <w:sz w:val="28"/>
          <w:szCs w:val="28"/>
        </w:rPr>
        <w:t xml:space="preserve">университета </w:t>
      </w:r>
      <w:r w:rsidR="00996D9A">
        <w:rPr>
          <w:sz w:val="28"/>
          <w:szCs w:val="28"/>
        </w:rPr>
        <w:t>для его утверждения</w:t>
      </w:r>
      <w:r w:rsidR="0071612B">
        <w:rPr>
          <w:sz w:val="28"/>
          <w:szCs w:val="28"/>
        </w:rPr>
        <w:t xml:space="preserve">. Колдоговор предоставляет преподавателям и сотрудникам вуза ряд дополнительных льгот и гарантий, не предусмотренных трудовым законодательством. Считаем, что в условиях кризиса и </w:t>
      </w:r>
      <w:r w:rsidR="000F5472">
        <w:rPr>
          <w:sz w:val="28"/>
          <w:szCs w:val="28"/>
        </w:rPr>
        <w:t xml:space="preserve">произошедших </w:t>
      </w:r>
      <w:r w:rsidR="0071612B">
        <w:rPr>
          <w:sz w:val="28"/>
          <w:szCs w:val="28"/>
        </w:rPr>
        <w:t xml:space="preserve">кадровых </w:t>
      </w:r>
      <w:r w:rsidR="00996D9A">
        <w:rPr>
          <w:sz w:val="28"/>
          <w:szCs w:val="28"/>
        </w:rPr>
        <w:t xml:space="preserve">потерь </w:t>
      </w:r>
      <w:r w:rsidR="0071612B">
        <w:rPr>
          <w:sz w:val="28"/>
          <w:szCs w:val="28"/>
        </w:rPr>
        <w:t xml:space="preserve">уменьшать этот уровень льгот и гарантий нельзя, наоборот, необходимо для работников, которые в </w:t>
      </w:r>
      <w:r w:rsidR="00996D9A">
        <w:rPr>
          <w:sz w:val="28"/>
          <w:szCs w:val="28"/>
        </w:rPr>
        <w:t xml:space="preserve">таких </w:t>
      </w:r>
      <w:r w:rsidR="0071612B">
        <w:rPr>
          <w:sz w:val="28"/>
          <w:szCs w:val="28"/>
        </w:rPr>
        <w:t xml:space="preserve">условиях остаются </w:t>
      </w:r>
      <w:r w:rsidR="000F5472">
        <w:rPr>
          <w:sz w:val="28"/>
          <w:szCs w:val="28"/>
        </w:rPr>
        <w:t xml:space="preserve">верными </w:t>
      </w:r>
      <w:r w:rsidR="0071612B">
        <w:rPr>
          <w:sz w:val="28"/>
          <w:szCs w:val="28"/>
        </w:rPr>
        <w:t>университет</w:t>
      </w:r>
      <w:r w:rsidR="000F5472">
        <w:rPr>
          <w:sz w:val="28"/>
          <w:szCs w:val="28"/>
        </w:rPr>
        <w:t>у</w:t>
      </w:r>
      <w:r w:rsidR="0071612B">
        <w:rPr>
          <w:sz w:val="28"/>
          <w:szCs w:val="28"/>
        </w:rPr>
        <w:t xml:space="preserve">, обеспечить максимально </w:t>
      </w:r>
      <w:r w:rsidR="00996D9A">
        <w:rPr>
          <w:sz w:val="28"/>
          <w:szCs w:val="28"/>
        </w:rPr>
        <w:t xml:space="preserve">возможную защиту их социального положения и статуса. Такие возможности у университета есть. Понимаем, что переговоры не будут простыми, поэтому призываем нашего социального партнера правильно расставить приоритеты в </w:t>
      </w:r>
      <w:r w:rsidR="004A2120">
        <w:rPr>
          <w:sz w:val="28"/>
          <w:szCs w:val="28"/>
        </w:rPr>
        <w:t xml:space="preserve">вопросах внутренней </w:t>
      </w:r>
      <w:r w:rsidR="004A2120">
        <w:rPr>
          <w:sz w:val="28"/>
          <w:szCs w:val="28"/>
        </w:rPr>
        <w:lastRenderedPageBreak/>
        <w:t>политики</w:t>
      </w:r>
      <w:r w:rsidR="00996D9A">
        <w:rPr>
          <w:sz w:val="28"/>
          <w:szCs w:val="28"/>
        </w:rPr>
        <w:t>: в сложных экономических условиях главное, на что можно опереться и что нужно сохранить – это люди.</w:t>
      </w:r>
    </w:p>
    <w:p w:rsidR="00791F46" w:rsidRDefault="00791F46" w:rsidP="00D62771">
      <w:pPr>
        <w:spacing w:line="360" w:lineRule="auto"/>
        <w:rPr>
          <w:sz w:val="28"/>
          <w:szCs w:val="28"/>
        </w:rPr>
      </w:pPr>
    </w:p>
    <w:p w:rsidR="0071612B" w:rsidRDefault="00791F46" w:rsidP="00D62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Профком в новом учебном году планирует продолжить свои социальные проекты и массовые мероприятия – систему беспроцентных займов, компенсацию санаторно-курортного обслуживания, помощь ветеранам, работу спортивных групп и проведение Спартакиады «Здоровье».</w:t>
      </w:r>
    </w:p>
    <w:p w:rsidR="00791F46" w:rsidRDefault="00791F46" w:rsidP="00D62771">
      <w:pPr>
        <w:spacing w:line="360" w:lineRule="auto"/>
        <w:rPr>
          <w:sz w:val="28"/>
          <w:szCs w:val="28"/>
        </w:rPr>
      </w:pPr>
    </w:p>
    <w:p w:rsidR="005C1E5C" w:rsidRPr="000F5472" w:rsidRDefault="005C1E5C" w:rsidP="000F5472">
      <w:pPr>
        <w:spacing w:line="360" w:lineRule="auto"/>
        <w:rPr>
          <w:sz w:val="28"/>
          <w:szCs w:val="28"/>
        </w:rPr>
      </w:pPr>
      <w:r w:rsidRPr="000F5472">
        <w:rPr>
          <w:sz w:val="28"/>
          <w:szCs w:val="28"/>
        </w:rPr>
        <w:t xml:space="preserve">В заключение разрешите еще раз поздравить вас, уважаемые коллеги, с наступающим новым учебным годом, пожелать </w:t>
      </w:r>
      <w:r w:rsidR="000F5472">
        <w:rPr>
          <w:sz w:val="28"/>
          <w:szCs w:val="28"/>
        </w:rPr>
        <w:t xml:space="preserve">крепкого здоровья, успехов в нашем нелегком труде, человеческого счастья и гармонии. </w:t>
      </w:r>
    </w:p>
    <w:p w:rsidR="005C509B" w:rsidRPr="000F5472" w:rsidRDefault="005C509B" w:rsidP="00D62771">
      <w:pPr>
        <w:spacing w:line="360" w:lineRule="auto"/>
        <w:rPr>
          <w:sz w:val="28"/>
          <w:szCs w:val="28"/>
        </w:rPr>
      </w:pPr>
      <w:r w:rsidRPr="000F5472">
        <w:rPr>
          <w:sz w:val="28"/>
          <w:szCs w:val="28"/>
        </w:rPr>
        <w:t>Спасибо за внимание!</w:t>
      </w:r>
    </w:p>
    <w:sectPr w:rsidR="005C509B" w:rsidRPr="000F5472" w:rsidSect="00E56C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98" w:rsidRDefault="00822098" w:rsidP="004A2120">
      <w:r>
        <w:separator/>
      </w:r>
    </w:p>
  </w:endnote>
  <w:endnote w:type="continuationSeparator" w:id="1">
    <w:p w:rsidR="00822098" w:rsidRDefault="00822098" w:rsidP="004A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2711"/>
      <w:docPartObj>
        <w:docPartGallery w:val="Page Numbers (Bottom of Page)"/>
        <w:docPartUnique/>
      </w:docPartObj>
    </w:sdtPr>
    <w:sdtContent>
      <w:p w:rsidR="004A2120" w:rsidRDefault="00014809">
        <w:pPr>
          <w:pStyle w:val="a7"/>
          <w:jc w:val="center"/>
        </w:pPr>
        <w:fldSimple w:instr=" PAGE   \* MERGEFORMAT ">
          <w:r w:rsidR="007771F2">
            <w:rPr>
              <w:noProof/>
            </w:rPr>
            <w:t>6</w:t>
          </w:r>
        </w:fldSimple>
      </w:p>
    </w:sdtContent>
  </w:sdt>
  <w:p w:rsidR="004A2120" w:rsidRDefault="004A2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98" w:rsidRDefault="00822098" w:rsidP="004A2120">
      <w:r>
        <w:separator/>
      </w:r>
    </w:p>
  </w:footnote>
  <w:footnote w:type="continuationSeparator" w:id="1">
    <w:p w:rsidR="00822098" w:rsidRDefault="00822098" w:rsidP="004A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F2"/>
    <w:rsid w:val="00014809"/>
    <w:rsid w:val="00083F61"/>
    <w:rsid w:val="000F5472"/>
    <w:rsid w:val="001345F2"/>
    <w:rsid w:val="00197B24"/>
    <w:rsid w:val="00201AB4"/>
    <w:rsid w:val="003939CB"/>
    <w:rsid w:val="004152CE"/>
    <w:rsid w:val="004833A2"/>
    <w:rsid w:val="004A2120"/>
    <w:rsid w:val="004D1224"/>
    <w:rsid w:val="00515A67"/>
    <w:rsid w:val="00544A7E"/>
    <w:rsid w:val="00576801"/>
    <w:rsid w:val="005C1E5C"/>
    <w:rsid w:val="005C45A7"/>
    <w:rsid w:val="005C509B"/>
    <w:rsid w:val="005E6984"/>
    <w:rsid w:val="006B08B4"/>
    <w:rsid w:val="006B2D30"/>
    <w:rsid w:val="0071612B"/>
    <w:rsid w:val="007771F2"/>
    <w:rsid w:val="00791F46"/>
    <w:rsid w:val="007B5F33"/>
    <w:rsid w:val="00822098"/>
    <w:rsid w:val="008B2C97"/>
    <w:rsid w:val="00996D9A"/>
    <w:rsid w:val="009B5663"/>
    <w:rsid w:val="00B530DD"/>
    <w:rsid w:val="00BD2D32"/>
    <w:rsid w:val="00BD6AAD"/>
    <w:rsid w:val="00BF1721"/>
    <w:rsid w:val="00C35E5E"/>
    <w:rsid w:val="00C8192C"/>
    <w:rsid w:val="00CA3FEF"/>
    <w:rsid w:val="00D02DBF"/>
    <w:rsid w:val="00D62771"/>
    <w:rsid w:val="00DB0A04"/>
    <w:rsid w:val="00E2785C"/>
    <w:rsid w:val="00E374B9"/>
    <w:rsid w:val="00E56C39"/>
    <w:rsid w:val="00EB10D8"/>
    <w:rsid w:val="00F15631"/>
    <w:rsid w:val="00F25E04"/>
    <w:rsid w:val="00F279AC"/>
    <w:rsid w:val="00FA7B48"/>
    <w:rsid w:val="00FC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9"/>
  </w:style>
  <w:style w:type="paragraph" w:styleId="3">
    <w:name w:val="heading 3"/>
    <w:basedOn w:val="a"/>
    <w:next w:val="a"/>
    <w:link w:val="30"/>
    <w:qFormat/>
    <w:rsid w:val="00D6277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277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C6A1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C6A1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21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120"/>
  </w:style>
  <w:style w:type="paragraph" w:styleId="a7">
    <w:name w:val="footer"/>
    <w:basedOn w:val="a"/>
    <w:link w:val="a8"/>
    <w:uiPriority w:val="99"/>
    <w:unhideWhenUsed/>
    <w:rsid w:val="004A21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120"/>
  </w:style>
  <w:style w:type="paragraph" w:styleId="a9">
    <w:name w:val="List Paragraph"/>
    <w:basedOn w:val="a"/>
    <w:uiPriority w:val="34"/>
    <w:qFormat/>
    <w:rsid w:val="00E2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C6A-90DB-47C5-AE2A-65BCAE63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2015-08-16T05:34:00Z</dcterms:created>
  <dcterms:modified xsi:type="dcterms:W3CDTF">2015-08-30T12:39:00Z</dcterms:modified>
</cp:coreProperties>
</file>